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5"/>
        <w:keepNext/>
        <w:keepLines/>
        <w:tabs>
          <w:tab w:val="right" w:leader="dot" w:pos="8663"/>
        </w:tabs>
        <w:spacing w:line="360" w:lineRule="auto"/>
        <w:rPr>
          <w:rFonts w:hint="eastAsia"/>
          <w:lang w:val="zh-CN"/>
        </w:r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93056" behindDoc="0" locked="0" layoutInCell="1" allowOverlap="1">
                <wp:simplePos x="0" y="0"/>
                <wp:positionH relativeFrom="column">
                  <wp:posOffset>-756285</wp:posOffset>
                </wp:positionH>
                <wp:positionV relativeFrom="paragraph">
                  <wp:posOffset>7341235</wp:posOffset>
                </wp:positionV>
                <wp:extent cx="5688965" cy="655955"/>
                <wp:effectExtent l="0" t="0" r="0" b="1270"/>
                <wp:wrapNone/>
                <wp:docPr id="2009324422" name="Rectangle 1"/>
                <wp:cNvGraphicFramePr/>
                <a:graphic xmlns:a="http://schemas.openxmlformats.org/drawingml/2006/main">
                  <a:graphicData uri="http://schemas.microsoft.com/office/word/2010/wordprocessingShape">
                    <wps:wsp>
                      <wps:cNvSpPr txBox="1">
                        <a:spLocks noChangeArrowheads="1"/>
                      </wps:cNvSpPr>
                      <wps:spPr bwMode="auto">
                        <a:xfrm>
                          <a:off x="0" y="0"/>
                          <a:ext cx="5688965" cy="655955"/>
                        </a:xfrm>
                        <a:prstGeom prst="rect">
                          <a:avLst/>
                        </a:prstGeom>
                        <a:noFill/>
                        <a:ln>
                          <a:noFill/>
                        </a:ln>
                      </wps:spPr>
                      <wps:txbx>
                        <w:txbxContent>
                          <w:p>
                            <w:pPr>
                              <w:pStyle w:val="81"/>
                              <w:spacing w:before="0" w:beforeAutospacing="0" w:after="0" w:afterAutospacing="0" w:line="288" w:lineRule="auto"/>
                              <w:rPr>
                                <w:rFonts w:ascii="微软雅黑" w:hAnsi="微软雅黑" w:eastAsia="微软雅黑"/>
                                <w:color w:val="006699"/>
                                <w:sz w:val="40"/>
                                <w:szCs w:val="40"/>
                              </w:rPr>
                            </w:pPr>
                            <w:r>
                              <w:rPr>
                                <w:rFonts w:hint="eastAsia" w:ascii="微软雅黑" w:hAnsi="微软雅黑" w:eastAsia="微软雅黑"/>
                                <w:color w:val="006699"/>
                                <w:kern w:val="24"/>
                                <w:sz w:val="56"/>
                                <w:szCs w:val="56"/>
                              </w:rPr>
                              <w:t>本科毕业生就业质量年度报告</w:t>
                            </w:r>
                          </w:p>
                        </w:txbxContent>
                      </wps:txbx>
                      <wps:bodyPr rot="0" vert="horz" wrap="square" lIns="91440" tIns="45720" rIns="91440" bIns="45720" anchor="t" anchorCtr="0">
                        <a:noAutofit/>
                      </wps:bodyPr>
                    </wps:wsp>
                  </a:graphicData>
                </a:graphic>
              </wp:anchor>
            </w:drawing>
          </mc:Choice>
          <mc:Fallback>
            <w:pict>
              <v:shape id="Rectangle 1" o:spid="_x0000_s1026" o:spt="202" type="#_x0000_t202" style="position:absolute;left:0pt;margin-left:-59.55pt;margin-top:578.05pt;height:51.65pt;width:447.95pt;z-index:251693056;mso-width-relative:page;mso-height-relative:page;" filled="f" stroked="f" coordsize="21600,21600" o:gfxdata="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BdXIdoAAAAOAQAADwAAAAAAAAABACAAAAAi&#10;AAAAZHJzL2Rvd25yZXYueG1sUEsBAhQAFAAAAAgAh07iQO+7fKUIAgAAEgQAAA4AAAAAAAAAAQAg&#10;AAAAKQEAAGRycy9lMm9Eb2MueG1sUEsFBgAAAAAGAAYAWQEAAKMFAAAAAA==&#10;">
                <v:fill on="f" focussize="0,0"/>
                <v:stroke on="f"/>
                <v:imagedata o:title=""/>
                <o:lock v:ext="edit" aspectratio="f"/>
                <v:textbox>
                  <w:txbxContent>
                    <w:p>
                      <w:pPr>
                        <w:pStyle w:val="81"/>
                        <w:spacing w:before="0" w:beforeAutospacing="0" w:after="0" w:afterAutospacing="0" w:line="288" w:lineRule="auto"/>
                        <w:rPr>
                          <w:rFonts w:ascii="微软雅黑" w:hAnsi="微软雅黑" w:eastAsia="微软雅黑"/>
                          <w:color w:val="006699"/>
                          <w:sz w:val="40"/>
                          <w:szCs w:val="40"/>
                        </w:rPr>
                      </w:pPr>
                      <w:r>
                        <w:rPr>
                          <w:rFonts w:hint="eastAsia" w:ascii="微软雅黑" w:hAnsi="微软雅黑" w:eastAsia="微软雅黑"/>
                          <w:color w:val="006699"/>
                          <w:kern w:val="24"/>
                          <w:sz w:val="56"/>
                          <w:szCs w:val="56"/>
                        </w:rPr>
                        <w:t>本科毕业生就业质量年度报告</w:t>
                      </w:r>
                    </w:p>
                  </w:txbxContent>
                </v:textbox>
              </v:shape>
            </w:pict>
          </mc:Fallback>
        </mc:AlternateContent>
      </w:r>
      <w:r>
        <w:drawing>
          <wp:anchor distT="0" distB="0" distL="114300" distR="114300" simplePos="0" relativeHeight="251659264" behindDoc="1" locked="0" layoutInCell="1" allowOverlap="1">
            <wp:simplePos x="0" y="0"/>
            <wp:positionH relativeFrom="margin">
              <wp:posOffset>-1499235</wp:posOffset>
            </wp:positionH>
            <wp:positionV relativeFrom="margin">
              <wp:posOffset>-1259840</wp:posOffset>
            </wp:positionV>
            <wp:extent cx="7980045" cy="6951980"/>
            <wp:effectExtent l="0" t="0" r="0" b="0"/>
            <wp:wrapSquare wrapText="bothSides"/>
            <wp:docPr id="22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8"/>
                    <pic:cNvPicPr>
                      <a:picLocks noChangeAspect="1" noChangeArrowheads="1"/>
                    </pic:cNvPicPr>
                  </pic:nvPicPr>
                  <pic:blipFill>
                    <a:blip r:embed="rId10">
                      <a:extLst>
                        <a:ext uri="{28A0092B-C50C-407E-A947-70E740481C1C}">
                          <a14:useLocalDpi xmlns:a14="http://schemas.microsoft.com/office/drawing/2010/main" val="0"/>
                        </a:ext>
                      </a:extLst>
                    </a:blip>
                    <a:srcRect l="15959" r="19449"/>
                    <a:stretch>
                      <a:fillRect/>
                    </a:stretch>
                  </pic:blipFill>
                  <pic:spPr>
                    <a:xfrm>
                      <a:off x="0" y="0"/>
                      <a:ext cx="7980045" cy="6951980"/>
                    </a:xfrm>
                    <a:prstGeom prst="rect">
                      <a:avLst/>
                    </a:prstGeom>
                    <a:noFill/>
                    <a:ln>
                      <a:noFill/>
                    </a:ln>
                  </pic:spPr>
                </pic:pic>
              </a:graphicData>
            </a:graphic>
          </wp:anchor>
        </w:drawing>
      </w:r>
      <w:r>
        <mc:AlternateContent>
          <mc:Choice Requires="wps">
            <w:drawing>
              <wp:anchor distT="0" distB="0" distL="114300" distR="114300" simplePos="0" relativeHeight="251698176" behindDoc="0" locked="0" layoutInCell="1" allowOverlap="1">
                <wp:simplePos x="0" y="0"/>
                <wp:positionH relativeFrom="page">
                  <wp:posOffset>288290</wp:posOffset>
                </wp:positionH>
                <wp:positionV relativeFrom="page">
                  <wp:posOffset>8999855</wp:posOffset>
                </wp:positionV>
                <wp:extent cx="6119495" cy="1080135"/>
                <wp:effectExtent l="2540" t="0" r="2540" b="0"/>
                <wp:wrapNone/>
                <wp:docPr id="2097565017" name="TextBox 100225"/>
                <wp:cNvGraphicFramePr/>
                <a:graphic xmlns:a="http://schemas.openxmlformats.org/drawingml/2006/main">
                  <a:graphicData uri="http://schemas.microsoft.com/office/word/2010/wordprocessingShape">
                    <wps:wsp>
                      <wps:cNvSpPr txBox="1">
                        <a:spLocks noChangeArrowheads="1"/>
                      </wps:cNvSpPr>
                      <wps:spPr bwMode="auto">
                        <a:xfrm>
                          <a:off x="0" y="0"/>
                          <a:ext cx="6119495" cy="1080135"/>
                        </a:xfrm>
                        <a:prstGeom prst="rect">
                          <a:avLst/>
                        </a:prstGeom>
                        <a:noFill/>
                        <a:ln>
                          <a:noFill/>
                        </a:ln>
                      </wps:spPr>
                      <wps:txbx>
                        <w:txbxContent>
                          <w:p>
                            <w:pPr>
                              <w:jc w:val="left"/>
                              <w:rPr>
                                <w:rFonts w:ascii="微软雅黑" w:hAnsi="微软雅黑" w:eastAsia="微软雅黑" w:cs="微软雅黑"/>
                                <w:b/>
                                <w:color w:val="006699"/>
                                <w:sz w:val="96"/>
                              </w:rPr>
                            </w:pPr>
                            <w:r>
                              <w:rPr>
                                <w:rFonts w:ascii="微软雅黑" w:hAnsi="微软雅黑" w:eastAsia="微软雅黑" w:cs="微软雅黑"/>
                                <w:b/>
                                <w:color w:val="006699"/>
                                <w:sz w:val="96"/>
                              </w:rPr>
                              <w:t>天津中医药大学</w:t>
                            </w:r>
                          </w:p>
                        </w:txbxContent>
                      </wps:txbx>
                      <wps:bodyPr rot="0" vert="horz" wrap="square" lIns="91440" tIns="45720" rIns="91440" bIns="45720" anchor="t" anchorCtr="0" upright="1">
                        <a:noAutofit/>
                      </wps:bodyPr>
                    </wps:wsp>
                  </a:graphicData>
                </a:graphic>
              </wp:anchor>
            </w:drawing>
          </mc:Choice>
          <mc:Fallback>
            <w:pict>
              <v:shape id="TextBox 100225" o:spid="_x0000_s1026" o:spt="202" type="#_x0000_t202" style="position:absolute;left:0pt;margin-left:22.7pt;margin-top:708.65pt;height:85.05pt;width:481.85pt;mso-position-horizontal-relative:page;mso-position-vertical-relative:page;z-index:251698176;mso-width-relative:page;mso-height-relative:page;" filled="f" stroked="f" coordsize="21600,21600" o:gfxdata="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SlAmzZAAAADQEAAA8AAAAA&#10;AAAAAQAgAAAAIgAAAGRycy9kb3ducmV2LnhtbFBLAQIUABQAAAAIAIdO4kAEHtPXEwIAACIEAAAO&#10;AAAAAAAAAAEAIAAAACgBAABkcnMvZTJvRG9jLnhtbFBLBQYAAAAABgAGAFkBAACtBQAAAAA=&#10;">
                <v:fill on="f" focussize="0,0"/>
                <v:stroke on="f"/>
                <v:imagedata o:title=""/>
                <o:lock v:ext="edit" aspectratio="f"/>
                <v:textbox>
                  <w:txbxContent>
                    <w:p>
                      <w:pPr>
                        <w:jc w:val="left"/>
                        <w:rPr>
                          <w:rFonts w:ascii="微软雅黑" w:hAnsi="微软雅黑" w:eastAsia="微软雅黑" w:cs="微软雅黑"/>
                          <w:b/>
                          <w:color w:val="006699"/>
                          <w:sz w:val="96"/>
                        </w:rPr>
                      </w:pPr>
                      <w:r>
                        <w:rPr>
                          <w:rFonts w:ascii="微软雅黑" w:hAnsi="微软雅黑" w:eastAsia="微软雅黑" w:cs="微软雅黑"/>
                          <w:b/>
                          <w:color w:val="006699"/>
                          <w:sz w:val="96"/>
                        </w:rPr>
                        <w:t>天津中医药大学</w:t>
                      </w:r>
                    </w:p>
                  </w:txbxContent>
                </v:textbox>
              </v:shape>
            </w:pict>
          </mc:Fallback>
        </mc:AlternateContent>
      </w:r>
      <w:r>
        <w:drawing>
          <wp:anchor distT="0" distB="0" distL="114300" distR="114300" simplePos="0" relativeHeight="251695104" behindDoc="1" locked="0" layoutInCell="1" allowOverlap="1">
            <wp:simplePos x="0" y="0"/>
            <wp:positionH relativeFrom="page">
              <wp:posOffset>-78105</wp:posOffset>
            </wp:positionH>
            <wp:positionV relativeFrom="paragraph">
              <wp:posOffset>3873500</wp:posOffset>
            </wp:positionV>
            <wp:extent cx="7639050" cy="5542280"/>
            <wp:effectExtent l="0" t="0" r="0" b="0"/>
            <wp:wrapNone/>
            <wp:docPr id="739783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83755"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39050" cy="5542280"/>
                    </a:xfrm>
                    <a:prstGeom prst="rect">
                      <a:avLst/>
                    </a:prstGeom>
                    <a:noFill/>
                    <a:ln>
                      <a:noFill/>
                    </a:ln>
                  </pic:spPr>
                </pic:pic>
              </a:graphicData>
            </a:graphic>
          </wp:anchor>
        </w:drawing>
      </w:r>
      <w:bookmarkStart w:id="0" w:name="first"/>
      <w:bookmarkEnd w:id="0"/>
      <w:r>
        <mc:AlternateContent>
          <mc:Choice Requires="wps">
            <w:drawing>
              <wp:anchor distT="0" distB="0" distL="114300" distR="114300" simplePos="0" relativeHeight="251694080" behindDoc="0" locked="0" layoutInCell="1" allowOverlap="1">
                <wp:simplePos x="0" y="0"/>
                <wp:positionH relativeFrom="column">
                  <wp:posOffset>-737235</wp:posOffset>
                </wp:positionH>
                <wp:positionV relativeFrom="paragraph">
                  <wp:posOffset>6290945</wp:posOffset>
                </wp:positionV>
                <wp:extent cx="1985010" cy="1172210"/>
                <wp:effectExtent l="0" t="0" r="0" b="1905"/>
                <wp:wrapNone/>
                <wp:docPr id="2018279162" name="Rectangle 8"/>
                <wp:cNvGraphicFramePr/>
                <a:graphic xmlns:a="http://schemas.openxmlformats.org/drawingml/2006/main">
                  <a:graphicData uri="http://schemas.microsoft.com/office/word/2010/wordprocessingShape">
                    <wps:wsp>
                      <wps:cNvSpPr txBox="1">
                        <a:spLocks noChangeArrowheads="1"/>
                      </wps:cNvSpPr>
                      <wps:spPr bwMode="auto">
                        <a:xfrm>
                          <a:off x="0" y="0"/>
                          <a:ext cx="1985010" cy="1172210"/>
                        </a:xfrm>
                        <a:prstGeom prst="rect">
                          <a:avLst/>
                        </a:prstGeom>
                        <a:noFill/>
                        <a:ln>
                          <a:noFill/>
                        </a:ln>
                      </wps:spPr>
                      <wps:txbx>
                        <w:txbxContent>
                          <w:p>
                            <w:pPr>
                              <w:pStyle w:val="81"/>
                              <w:spacing w:before="0" w:beforeAutospacing="0" w:after="0" w:afterAutospacing="0"/>
                              <w:rPr>
                                <w:color w:val="006699"/>
                                <w:sz w:val="52"/>
                                <w:szCs w:val="52"/>
                              </w:rPr>
                            </w:pPr>
                            <w:r>
                              <w:rPr>
                                <w:rFonts w:eastAsia="等线"/>
                                <w:b/>
                                <w:bCs/>
                                <w:color w:val="006699"/>
                                <w:spacing w:val="-30"/>
                                <w:kern w:val="24"/>
                                <w:sz w:val="144"/>
                                <w:szCs w:val="144"/>
                              </w:rPr>
                              <w:t>2023</w:t>
                            </w:r>
                          </w:p>
                        </w:txbxContent>
                      </wps:txbx>
                      <wps:bodyPr rot="0" vert="horz" wrap="square" lIns="91440" tIns="45720" rIns="91440" bIns="45720" anchor="t" anchorCtr="0">
                        <a:noAutofit/>
                      </wps:bodyPr>
                    </wps:wsp>
                  </a:graphicData>
                </a:graphic>
              </wp:anchor>
            </w:drawing>
          </mc:Choice>
          <mc:Fallback>
            <w:pict>
              <v:shape id="Rectangle 8" o:spid="_x0000_s1026" o:spt="202" type="#_x0000_t202" style="position:absolute;left:0pt;margin-left:-58.05pt;margin-top:495.35pt;height:92.3pt;width:156.3pt;z-index:251694080;mso-width-relative:page;mso-height-relative:page;" filled="f" stroked="f" coordsize="21600,21600" o:gfxdata="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7YNp2gAAAA0BAAAPAAAAAAAAAAEAIAAAACIA&#10;AABkcnMvZG93bnJldi54bWxQSwECFAAUAAAACACHTuJAF+BDMwcCAAATBAAADgAAAAAAAAABACAA&#10;AAApAQAAZHJzL2Uyb0RvYy54bWxQSwUGAAAAAAYABgBZAQAAogUAAAAA&#10;">
                <v:fill on="f" focussize="0,0"/>
                <v:stroke on="f"/>
                <v:imagedata o:title=""/>
                <o:lock v:ext="edit" aspectratio="f"/>
                <v:textbox>
                  <w:txbxContent>
                    <w:p>
                      <w:pPr>
                        <w:pStyle w:val="81"/>
                        <w:spacing w:before="0" w:beforeAutospacing="0" w:after="0" w:afterAutospacing="0"/>
                        <w:rPr>
                          <w:color w:val="006699"/>
                          <w:sz w:val="52"/>
                          <w:szCs w:val="52"/>
                        </w:rPr>
                      </w:pPr>
                      <w:r>
                        <w:rPr>
                          <w:rFonts w:eastAsia="等线"/>
                          <w:b/>
                          <w:bCs/>
                          <w:color w:val="006699"/>
                          <w:spacing w:val="-30"/>
                          <w:kern w:val="24"/>
                          <w:sz w:val="144"/>
                          <w:szCs w:val="144"/>
                        </w:rPr>
                        <w:t>2023</w:t>
                      </w:r>
                    </w:p>
                  </w:txbxContent>
                </v:textbox>
              </v:shape>
            </w:pict>
          </mc:Fallback>
        </mc:AlternateContent>
      </w:r>
    </w:p>
    <w:p>
      <w:pPr>
        <w:pStyle w:val="158"/>
        <w:numPr>
          <w:ilvl w:val="1"/>
          <w:numId w:val="0"/>
        </w:numPr>
        <w:jc w:val="left"/>
        <w:rPr>
          <w:rFonts w:cs="宋体"/>
          <w:color w:val="006699"/>
          <w:szCs w:val="60"/>
        </w:rPr>
      </w:pPr>
      <w:bookmarkStart w:id="1" w:name="catalog_1"/>
      <w:bookmarkEnd w:id="1"/>
      <w:bookmarkStart w:id="2" w:name="_Toc153811504"/>
      <w:bookmarkStart w:id="3" w:name="_Toc153811547"/>
      <w:r>
        <w:rPr>
          <w:rFonts w:cs="宋体"/>
          <w:color w:val="006699"/>
          <w:szCs w:val="60"/>
        </w:rPr>
        <w:drawing>
          <wp:anchor distT="0" distB="0" distL="114300" distR="114300" simplePos="0" relativeHeight="251660288" behindDoc="1" locked="0" layoutInCell="1" allowOverlap="1">
            <wp:simplePos x="0" y="0"/>
            <wp:positionH relativeFrom="column">
              <wp:posOffset>-485775</wp:posOffset>
            </wp:positionH>
            <wp:positionV relativeFrom="paragraph">
              <wp:posOffset>0</wp:posOffset>
            </wp:positionV>
            <wp:extent cx="471170" cy="334645"/>
            <wp:effectExtent l="0" t="0" r="0" b="0"/>
            <wp:wrapNone/>
            <wp:docPr id="6446197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19741" name="图片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1170" cy="334645"/>
                    </a:xfrm>
                    <a:prstGeom prst="rect">
                      <a:avLst/>
                    </a:prstGeom>
                    <a:noFill/>
                  </pic:spPr>
                </pic:pic>
              </a:graphicData>
            </a:graphic>
          </wp:anchor>
        </w:drawing>
      </w:r>
      <w:r>
        <w:rPr>
          <w:rFonts w:cs="宋体"/>
          <w:color w:val="006699"/>
          <w:szCs w:val="60"/>
        </w:rPr>
        <w:t>学校概况</w:t>
      </w:r>
      <w:bookmarkEnd w:id="2"/>
      <w:bookmarkEnd w:id="3"/>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天津中医药大学始建于1958年，原名天津中医学院。2006年更名为天津中医药大学。2017年，学校进入世界一流大学和一流学科建设高校行列。2020年，学校成为天津市人民政府、教育部、国家中医药管理局共建高校。2022年，学校成为第二轮</w:t>
      </w:r>
      <w:r>
        <w:rPr>
          <w:rFonts w:hint="eastAsia" w:ascii="宋体" w:hAnsi="宋体" w:cs="宋体"/>
          <w:kern w:val="2"/>
          <w:szCs w:val="60"/>
          <w:lang w:val="en-US" w:eastAsia="zh-CN" w:bidi="ar-SA"/>
        </w:rPr>
        <w:t>“</w:t>
      </w:r>
      <w:r>
        <w:rPr>
          <w:rFonts w:hint="eastAsia" w:hAnsi="宋体" w:cs="宋体"/>
          <w:kern w:val="2"/>
          <w:szCs w:val="60"/>
          <w:lang w:val="en-US" w:eastAsia="zh-CN" w:bidi="ar-SA"/>
        </w:rPr>
        <w:t>双一流</w:t>
      </w:r>
      <w:r>
        <w:rPr>
          <w:rFonts w:hint="eastAsia" w:ascii="宋体" w:hAnsi="宋体" w:cs="宋体"/>
          <w:kern w:val="2"/>
          <w:szCs w:val="60"/>
          <w:lang w:val="en-US" w:eastAsia="zh-CN" w:bidi="ar-SA"/>
        </w:rPr>
        <w:t>”</w:t>
      </w:r>
      <w:r>
        <w:rPr>
          <w:rFonts w:hint="eastAsia" w:hAnsi="宋体" w:cs="宋体"/>
          <w:kern w:val="2"/>
          <w:szCs w:val="60"/>
          <w:lang w:val="en-US" w:eastAsia="zh-CN" w:bidi="ar-SA"/>
        </w:rPr>
        <w:t>建设高校。学校是原国家教委批准的唯一一所中国传统医药国际学院，是世界中医药学会联合会教育指导委员会主任委员单位。</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设有静海团泊校区、南开玉泉路校区。主校区坐落于天津市静海区团泊湖畔，占地2600余亩，建筑面积60余万平方米。校园以湖水景观为特点、中药植被为标志、中医药文化为主线，是全国最大的中药植物园、全国最先进的中医药科技园及在国际上具有影响的中医药国际教育中心。</w:t>
      </w:r>
    </w:p>
    <w:p>
      <w:pPr>
        <w:pStyle w:val="164"/>
        <w:spacing w:line="360" w:lineRule="auto"/>
        <w:ind w:firstLine="420"/>
        <w:jc w:val="both"/>
        <w:rPr>
          <w:rFonts w:hAnsi="宋体" w:cs="宋体"/>
          <w:kern w:val="2"/>
          <w:szCs w:val="60"/>
          <w:lang w:val="en-US" w:eastAsia="zh-CN" w:bidi="ar-SA"/>
        </w:rPr>
      </w:pPr>
      <w:r>
        <w:rPr>
          <w:rFonts w:hint="eastAsia" w:hAnsi="宋体" w:cs="宋体"/>
          <w:kern w:val="2"/>
          <w:szCs w:val="60"/>
          <w:lang w:val="en-US" w:eastAsia="zh-CN" w:bidi="ar-SA"/>
        </w:rPr>
        <w:t>学校现有全日制本科生12001人，研究生4026人，留学生570人。全校（含附院）现有在编教职工4040人。现有中国工程院院士3人（其中1人为兼聘），国医大师2人，全国名中医5人，教学大师奖获得者1人，拥有国家</w:t>
      </w:r>
      <w:r>
        <w:rPr>
          <w:rFonts w:hint="eastAsia" w:ascii="宋体" w:hAnsi="宋体" w:cs="宋体"/>
          <w:kern w:val="2"/>
          <w:szCs w:val="60"/>
          <w:lang w:val="en-US" w:eastAsia="zh-CN" w:bidi="ar-SA"/>
        </w:rPr>
        <w:t>“</w:t>
      </w:r>
      <w:r>
        <w:rPr>
          <w:rFonts w:hint="eastAsia" w:hAnsi="宋体" w:cs="宋体"/>
          <w:kern w:val="2"/>
          <w:szCs w:val="60"/>
          <w:lang w:val="en-US" w:eastAsia="zh-CN" w:bidi="ar-SA"/>
        </w:rPr>
        <w:t>特支计划</w:t>
      </w:r>
      <w:r>
        <w:rPr>
          <w:rFonts w:hint="eastAsia" w:ascii="宋体" w:hAnsi="宋体" w:cs="宋体"/>
          <w:kern w:val="2"/>
          <w:szCs w:val="60"/>
          <w:lang w:val="en-US" w:eastAsia="zh-CN" w:bidi="ar-SA"/>
        </w:rPr>
        <w:t>”</w:t>
      </w:r>
      <w:r>
        <w:rPr>
          <w:rFonts w:hint="eastAsia" w:hAnsi="宋体" w:cs="宋体"/>
          <w:kern w:val="2"/>
          <w:szCs w:val="60"/>
          <w:lang w:val="en-US" w:eastAsia="zh-CN" w:bidi="ar-SA"/>
        </w:rPr>
        <w:t>领军人才、国家</w:t>
      </w:r>
      <w:r>
        <w:rPr>
          <w:rFonts w:hint="eastAsia" w:ascii="宋体" w:hAnsi="宋体" w:cs="宋体"/>
          <w:kern w:val="2"/>
          <w:szCs w:val="60"/>
          <w:lang w:val="en-US" w:eastAsia="zh-CN" w:bidi="ar-SA"/>
        </w:rPr>
        <w:t>“</w:t>
      </w:r>
      <w:r>
        <w:rPr>
          <w:rFonts w:hint="eastAsia" w:hAnsi="宋体" w:cs="宋体"/>
          <w:kern w:val="2"/>
          <w:szCs w:val="60"/>
          <w:lang w:val="en-US" w:eastAsia="zh-CN" w:bidi="ar-SA"/>
        </w:rPr>
        <w:t>特支计划</w:t>
      </w:r>
      <w:r>
        <w:rPr>
          <w:rFonts w:hint="eastAsia" w:ascii="宋体" w:hAnsi="宋体" w:cs="宋体"/>
          <w:kern w:val="2"/>
          <w:szCs w:val="60"/>
          <w:lang w:val="en-US" w:eastAsia="zh-CN" w:bidi="ar-SA"/>
        </w:rPr>
        <w:t>”</w:t>
      </w:r>
      <w:r>
        <w:rPr>
          <w:rFonts w:hint="eastAsia" w:hAnsi="宋体" w:cs="宋体"/>
          <w:kern w:val="2"/>
          <w:szCs w:val="60"/>
          <w:lang w:val="en-US" w:eastAsia="zh-CN" w:bidi="ar-SA"/>
        </w:rPr>
        <w:t>教学名师、教育部</w:t>
      </w:r>
      <w:r>
        <w:rPr>
          <w:rFonts w:hint="eastAsia" w:ascii="宋体" w:hAnsi="宋体" w:cs="宋体"/>
          <w:kern w:val="2"/>
          <w:szCs w:val="60"/>
          <w:lang w:val="en-US" w:eastAsia="zh-CN" w:bidi="ar-SA"/>
        </w:rPr>
        <w:t>“</w:t>
      </w:r>
      <w:r>
        <w:rPr>
          <w:rFonts w:hint="eastAsia" w:hAnsi="宋体" w:cs="宋体"/>
          <w:kern w:val="2"/>
          <w:szCs w:val="60"/>
          <w:lang w:val="en-US" w:eastAsia="zh-CN" w:bidi="ar-SA"/>
        </w:rPr>
        <w:t>长江学者奖励计划</w:t>
      </w:r>
      <w:r>
        <w:rPr>
          <w:rFonts w:hint="eastAsia" w:ascii="宋体" w:hAnsi="宋体" w:cs="宋体"/>
          <w:kern w:val="2"/>
          <w:szCs w:val="60"/>
          <w:lang w:val="en-US" w:eastAsia="zh-CN" w:bidi="ar-SA"/>
        </w:rPr>
        <w:t>”</w:t>
      </w:r>
      <w:r>
        <w:rPr>
          <w:rFonts w:hint="eastAsia" w:hAnsi="宋体" w:cs="宋体"/>
          <w:kern w:val="2"/>
          <w:szCs w:val="60"/>
          <w:lang w:val="en-US" w:eastAsia="zh-CN" w:bidi="ar-SA"/>
        </w:rPr>
        <w:t>特聘教授、</w:t>
      </w:r>
      <w:r>
        <w:rPr>
          <w:rFonts w:hint="eastAsia" w:ascii="宋体" w:hAnsi="宋体" w:cs="宋体"/>
          <w:kern w:val="2"/>
          <w:szCs w:val="60"/>
          <w:lang w:val="en-US" w:eastAsia="zh-CN" w:bidi="ar-SA"/>
        </w:rPr>
        <w:t>“</w:t>
      </w:r>
      <w:r>
        <w:rPr>
          <w:rFonts w:hint="eastAsia" w:hAnsi="宋体" w:cs="宋体"/>
          <w:kern w:val="2"/>
          <w:szCs w:val="60"/>
          <w:lang w:val="en-US" w:eastAsia="zh-CN" w:bidi="ar-SA"/>
        </w:rPr>
        <w:t>国家杰出青年科学基金</w:t>
      </w:r>
      <w:r>
        <w:rPr>
          <w:rFonts w:hint="eastAsia" w:ascii="宋体" w:hAnsi="宋体" w:cs="宋体"/>
          <w:kern w:val="2"/>
          <w:szCs w:val="60"/>
          <w:lang w:val="en-US" w:eastAsia="zh-CN" w:bidi="ar-SA"/>
        </w:rPr>
        <w:t>”</w:t>
      </w:r>
      <w:r>
        <w:rPr>
          <w:rFonts w:hint="eastAsia" w:hAnsi="宋体" w:cs="宋体"/>
          <w:kern w:val="2"/>
          <w:szCs w:val="60"/>
          <w:lang w:val="en-US" w:eastAsia="zh-CN" w:bidi="ar-SA"/>
        </w:rPr>
        <w:t>获得者、国家</w:t>
      </w:r>
      <w:r>
        <w:rPr>
          <w:rFonts w:hint="eastAsia" w:ascii="宋体" w:hAnsi="宋体" w:cs="宋体"/>
          <w:kern w:val="2"/>
          <w:szCs w:val="60"/>
          <w:lang w:val="en-US" w:eastAsia="zh-CN" w:bidi="ar-SA"/>
        </w:rPr>
        <w:t>“</w:t>
      </w:r>
      <w:r>
        <w:rPr>
          <w:rFonts w:hint="eastAsia" w:hAnsi="宋体" w:cs="宋体"/>
          <w:kern w:val="2"/>
          <w:szCs w:val="60"/>
          <w:lang w:val="en-US" w:eastAsia="zh-CN" w:bidi="ar-SA"/>
        </w:rPr>
        <w:t>特支计划</w:t>
      </w:r>
      <w:r>
        <w:rPr>
          <w:rFonts w:hint="eastAsia" w:ascii="宋体" w:hAnsi="宋体" w:cs="宋体"/>
          <w:kern w:val="2"/>
          <w:szCs w:val="60"/>
          <w:lang w:val="en-US" w:eastAsia="zh-CN" w:bidi="ar-SA"/>
        </w:rPr>
        <w:t>”</w:t>
      </w:r>
      <w:r>
        <w:rPr>
          <w:rFonts w:hint="eastAsia" w:hAnsi="宋体" w:cs="宋体"/>
          <w:kern w:val="2"/>
          <w:szCs w:val="60"/>
          <w:lang w:val="en-US" w:eastAsia="zh-CN" w:bidi="ar-SA"/>
        </w:rPr>
        <w:t>青年拔尖人才、全国模范教师、全国中医药高等学校教学名师等一批高层次人才。现有教育部创新团队3个，科技部创新团队2个，国家中医药多学科交叉创新团队2个、传承创新团队2个。</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学校设有6个学科门类，以中医药为主体，医、理、文、管、工、教育多学科协调发展，共计32个本科专业。拥有中药学</w:t>
      </w:r>
      <w:r>
        <w:rPr>
          <w:rFonts w:hint="eastAsia" w:ascii="宋体" w:hAnsi="宋体" w:cs="宋体"/>
          <w:kern w:val="2"/>
          <w:szCs w:val="60"/>
          <w:lang w:val="en-US" w:eastAsia="zh-CN" w:bidi="ar-SA"/>
        </w:rPr>
        <w:t>“</w:t>
      </w:r>
      <w:r>
        <w:rPr>
          <w:rFonts w:hint="eastAsia" w:hAnsi="宋体" w:cs="宋体"/>
          <w:kern w:val="2"/>
          <w:szCs w:val="60"/>
          <w:lang w:val="en-US" w:eastAsia="zh-CN" w:bidi="ar-SA"/>
        </w:rPr>
        <w:t>双一流</w:t>
      </w:r>
      <w:r>
        <w:rPr>
          <w:rFonts w:hint="eastAsia" w:ascii="宋体" w:hAnsi="宋体" w:cs="宋体"/>
          <w:kern w:val="2"/>
          <w:szCs w:val="60"/>
          <w:lang w:val="en-US" w:eastAsia="zh-CN" w:bidi="ar-SA"/>
        </w:rPr>
        <w:t>”</w:t>
      </w:r>
      <w:r>
        <w:rPr>
          <w:rFonts w:hint="eastAsia" w:hAnsi="宋体" w:cs="宋体"/>
          <w:kern w:val="2"/>
          <w:szCs w:val="60"/>
          <w:lang w:val="en-US" w:eastAsia="zh-CN" w:bidi="ar-SA"/>
        </w:rPr>
        <w:t>建设学科，中医内科学和针灸推拿学2个国家级重点学科、23个国家中医药管理局重点学科，9个国家中医药管理局高水平中医药重点学科，9个天津市重点学科，2个天津市一流学科，3个天津市顶尖学科，3个优势特色学科群，6个服务产业特色学科群。拥有中医学、中药学、中西医结合3个博士后科研流动站，中医学、中药学、中西医结合3个一级学科博士学位授权点，16个二级学科博士学位授权点，1个中医博士专业学位授权点，7个一级学科硕士学位授权点，25个二级学科硕士学位授权点，7个硕士专业学位授权点。学校在第五轮学科评估中取得优异成绩，中药学、中医学等骨干学科取得显著进步。药理学与毒理学、临床医学进入ESI前1%。</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拥有直属附属医院3所，建筑面积约42.4万平方米，编制病床数4120张，拥有国家级重点学科（专科）37个，国家中医药管理局区域中医（专科）诊疗中心6个。其中，第一附属医院是全国首批三级甲等医院、全国百佳医院、全国省级示范医院、全国百姓放心示范医院，是国家中医针灸临床医学研究中心、国家区域医疗中心建设输出医院、国家中医临床研究基地、国家中医药管理局中医药高层次人才综合基地、国家中医应急医疗队伍和疫病防治及紧急医学救援基地、国家中医药服务出口基地、中医药传承创新工程建设单位和全国中医文化建设示范单位、天津市中医医学中心。第二附属医院是国家中医药传承创新工程重点中医医院，是天津市中医医疗中心、区域医疗中心、天津市新冠肺炎多学科中西医结合康复指导中心、天津市中医康复中心。</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学校以立德树人为根本任务，认真落实</w:t>
      </w:r>
      <w:r>
        <w:rPr>
          <w:rFonts w:hint="eastAsia" w:ascii="宋体" w:hAnsi="宋体" w:cs="宋体"/>
          <w:kern w:val="2"/>
          <w:szCs w:val="60"/>
          <w:lang w:val="en-US" w:eastAsia="zh-CN" w:bidi="ar-SA"/>
        </w:rPr>
        <w:t>“</w:t>
      </w:r>
      <w:r>
        <w:rPr>
          <w:rFonts w:hint="eastAsia" w:hAnsi="宋体" w:cs="宋体"/>
          <w:kern w:val="2"/>
          <w:szCs w:val="60"/>
          <w:lang w:val="en-US" w:eastAsia="zh-CN" w:bidi="ar-SA"/>
        </w:rPr>
        <w:t>以本为本</w:t>
      </w:r>
      <w:r>
        <w:rPr>
          <w:rFonts w:hint="eastAsia" w:ascii="宋体" w:hAnsi="宋体" w:cs="宋体"/>
          <w:kern w:val="2"/>
          <w:szCs w:val="60"/>
          <w:lang w:val="en-US" w:eastAsia="zh-CN" w:bidi="ar-SA"/>
        </w:rPr>
        <w:t>”</w:t>
      </w:r>
      <w:r>
        <w:rPr>
          <w:rFonts w:hint="eastAsia" w:hAnsi="宋体" w:cs="宋体"/>
          <w:kern w:val="2"/>
          <w:szCs w:val="60"/>
          <w:lang w:val="en-US" w:eastAsia="zh-CN" w:bidi="ar-SA"/>
        </w:rPr>
        <w:t>，积极推进</w:t>
      </w:r>
      <w:r>
        <w:rPr>
          <w:rFonts w:hint="eastAsia" w:ascii="宋体" w:hAnsi="宋体" w:cs="宋体"/>
          <w:kern w:val="2"/>
          <w:szCs w:val="60"/>
          <w:lang w:val="en-US" w:eastAsia="zh-CN" w:bidi="ar-SA"/>
        </w:rPr>
        <w:t>“</w:t>
      </w:r>
      <w:r>
        <w:rPr>
          <w:rFonts w:hint="eastAsia" w:hAnsi="宋体" w:cs="宋体"/>
          <w:kern w:val="2"/>
          <w:szCs w:val="60"/>
          <w:lang w:val="en-US" w:eastAsia="zh-CN" w:bidi="ar-SA"/>
        </w:rPr>
        <w:t>四个回归</w:t>
      </w:r>
      <w:r>
        <w:rPr>
          <w:rFonts w:hint="eastAsia" w:ascii="宋体" w:hAnsi="宋体" w:cs="宋体"/>
          <w:kern w:val="2"/>
          <w:szCs w:val="60"/>
          <w:lang w:val="en-US" w:eastAsia="zh-CN" w:bidi="ar-SA"/>
        </w:rPr>
        <w:t>”</w:t>
      </w:r>
      <w:r>
        <w:rPr>
          <w:rFonts w:hint="eastAsia" w:hAnsi="宋体" w:cs="宋体"/>
          <w:kern w:val="2"/>
          <w:szCs w:val="60"/>
          <w:lang w:val="en-US" w:eastAsia="zh-CN" w:bidi="ar-SA"/>
        </w:rPr>
        <w:t>，以</w:t>
      </w:r>
      <w:r>
        <w:rPr>
          <w:rFonts w:hint="eastAsia" w:ascii="宋体" w:hAnsi="宋体" w:cs="宋体"/>
          <w:kern w:val="2"/>
          <w:szCs w:val="60"/>
          <w:lang w:val="en-US" w:eastAsia="zh-CN" w:bidi="ar-SA"/>
        </w:rPr>
        <w:t>“</w:t>
      </w:r>
      <w:r>
        <w:rPr>
          <w:rFonts w:hint="eastAsia" w:hAnsi="宋体" w:cs="宋体"/>
          <w:kern w:val="2"/>
          <w:szCs w:val="60"/>
          <w:lang w:val="en-US" w:eastAsia="zh-CN" w:bidi="ar-SA"/>
        </w:rPr>
        <w:t>六卓越一拔尖</w:t>
      </w:r>
      <w:r>
        <w:rPr>
          <w:rFonts w:hint="eastAsia" w:ascii="宋体" w:hAnsi="宋体" w:cs="宋体"/>
          <w:kern w:val="2"/>
          <w:szCs w:val="60"/>
          <w:lang w:val="en-US" w:eastAsia="zh-CN" w:bidi="ar-SA"/>
        </w:rPr>
        <w:t>”</w:t>
      </w:r>
      <w:r>
        <w:rPr>
          <w:rFonts w:hint="eastAsia" w:hAnsi="宋体" w:cs="宋体"/>
          <w:kern w:val="2"/>
          <w:szCs w:val="60"/>
          <w:lang w:val="en-US" w:eastAsia="zh-CN" w:bidi="ar-SA"/>
        </w:rPr>
        <w:t>计划2.0为指导，不断完善</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w:t>
      </w:r>
      <w:r>
        <w:rPr>
          <w:rFonts w:hint="eastAsia" w:ascii="宋体" w:hAnsi="宋体" w:cs="宋体"/>
          <w:kern w:val="2"/>
          <w:szCs w:val="60"/>
          <w:lang w:val="en-US" w:eastAsia="zh-CN" w:bidi="ar-SA"/>
        </w:rPr>
        <w:t>”</w:t>
      </w:r>
      <w:r>
        <w:rPr>
          <w:rFonts w:hint="eastAsia" w:hAnsi="宋体" w:cs="宋体"/>
          <w:kern w:val="2"/>
          <w:szCs w:val="60"/>
          <w:lang w:val="en-US" w:eastAsia="zh-CN" w:bidi="ar-SA"/>
        </w:rPr>
        <w:t>和</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w:t>
      </w:r>
      <w:r>
        <w:rPr>
          <w:rFonts w:hint="eastAsia" w:ascii="宋体" w:hAnsi="宋体" w:cs="宋体"/>
          <w:kern w:val="2"/>
          <w:szCs w:val="60"/>
          <w:lang w:val="en-US" w:eastAsia="zh-CN" w:bidi="ar-SA"/>
        </w:rPr>
        <w:t>”</w:t>
      </w:r>
      <w:r>
        <w:rPr>
          <w:rFonts w:hint="eastAsia" w:hAnsi="宋体" w:cs="宋体"/>
          <w:kern w:val="2"/>
          <w:szCs w:val="60"/>
          <w:lang w:val="en-US" w:eastAsia="zh-CN" w:bidi="ar-SA"/>
        </w:rPr>
        <w:t>的专业布局和课程体系，奋力开创以质量为内涵的高等教育新局面。学校拥有国家级教学成果奖特等奖1项、一等奖4项、二等奖2项；全国优秀教材（高等教育类）特等奖1项；拥有国家级一流专业9个，一流课程13门，卓越医生（中医）教育培养计划改革试点项目3个，教育部中药学基础学科拔尖学生培养基地1个；教育部工信部中药制药现代产业学院1个；</w:t>
      </w:r>
      <w:r>
        <w:rPr>
          <w:rFonts w:hint="eastAsia" w:ascii="宋体" w:hAnsi="宋体" w:cs="宋体"/>
          <w:kern w:val="2"/>
          <w:szCs w:val="60"/>
          <w:lang w:val="en-US" w:eastAsia="zh-CN" w:bidi="ar-SA"/>
        </w:rPr>
        <w:t>“</w:t>
      </w:r>
      <w:r>
        <w:rPr>
          <w:rFonts w:hint="eastAsia" w:hAnsi="宋体" w:cs="宋体"/>
          <w:kern w:val="2"/>
          <w:szCs w:val="60"/>
          <w:lang w:val="en-US" w:eastAsia="zh-CN" w:bidi="ar-SA"/>
        </w:rPr>
        <w:t>新工科</w:t>
      </w:r>
      <w:r>
        <w:rPr>
          <w:rFonts w:hint="eastAsia" w:ascii="宋体" w:hAnsi="宋体" w:cs="宋体"/>
          <w:kern w:val="2"/>
          <w:szCs w:val="60"/>
          <w:lang w:val="en-US" w:eastAsia="zh-CN" w:bidi="ar-SA"/>
        </w:rPr>
        <w:t>”</w:t>
      </w:r>
      <w:r>
        <w:rPr>
          <w:rFonts w:hint="eastAsia" w:hAnsi="宋体" w:cs="宋体"/>
          <w:kern w:val="2"/>
          <w:szCs w:val="60"/>
          <w:lang w:val="en-US" w:eastAsia="zh-CN" w:bidi="ar-SA"/>
        </w:rPr>
        <w:t>研究与实践项目2项，</w:t>
      </w:r>
      <w:r>
        <w:rPr>
          <w:rFonts w:hint="eastAsia" w:ascii="宋体" w:hAnsi="宋体" w:cs="宋体"/>
          <w:kern w:val="2"/>
          <w:szCs w:val="60"/>
          <w:lang w:val="en-US" w:eastAsia="zh-CN" w:bidi="ar-SA"/>
        </w:rPr>
        <w:t>“</w:t>
      </w:r>
      <w:r>
        <w:rPr>
          <w:rFonts w:hint="eastAsia" w:hAnsi="宋体" w:cs="宋体"/>
          <w:kern w:val="2"/>
          <w:szCs w:val="60"/>
          <w:lang w:val="en-US" w:eastAsia="zh-CN" w:bidi="ar-SA"/>
        </w:rPr>
        <w:t>新文科</w:t>
      </w:r>
      <w:r>
        <w:rPr>
          <w:rFonts w:hint="eastAsia" w:ascii="宋体" w:hAnsi="宋体" w:cs="宋体"/>
          <w:kern w:val="2"/>
          <w:szCs w:val="60"/>
          <w:lang w:val="en-US" w:eastAsia="zh-CN" w:bidi="ar-SA"/>
        </w:rPr>
        <w:t>”</w:t>
      </w:r>
      <w:r>
        <w:rPr>
          <w:rFonts w:hint="eastAsia" w:hAnsi="宋体" w:cs="宋体"/>
          <w:kern w:val="2"/>
          <w:szCs w:val="60"/>
          <w:lang w:val="en-US" w:eastAsia="zh-CN" w:bidi="ar-SA"/>
        </w:rPr>
        <w:t>项目1个；拥有国家级高等学校特色专业建设点3个、国家级专业综合改革试点项目1个、国家级人才培养模式创新实验区2个、国家级精品资源共享课6门、国家级双语教学示范课1门、国家级实验教学示范中心2个、国家级虚拟仿真实验教学中心1个、国家级虚拟仿真实验项目2项、国家级大学生校外实践教育基地1个、国家级教学团队1个。获得国家级大学生医学技术技能大赛专业赛道金奖2项。</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拥有国家中医针灸临床医学研究中心、组分中药国家重点实验室、现代中药创制全国重点实验室、国家级国际联合研究中心——中意中医药联合实验室、科技部创新人才推进计划创新人才培养示范基地、教育部退行性疾病中医药防治医药基础研究创新中心、方剂学教育部重点实验室、现代中药发现与制剂技术教育部工程研究中心、现代中药省部共建协同创新中心、现代中医药海河实验室、2个国家中医药管理局重点研究室、6个天津市重点实验室、3个天津市临床医学研究中心、国家药品监督管理局中医药循证评价重点实验室、天津市高校智库——中医药战略发展研究中心、天津市中医药循证医学中心、2个国家中医临床研究基地（冠心病、中风病）、2个国家药物临床研究基地等一批国家级、省部级高水平科研创新平台。连续承担国家</w:t>
      </w:r>
      <w:r>
        <w:rPr>
          <w:rFonts w:hint="eastAsia" w:ascii="宋体" w:hAnsi="宋体" w:cs="宋体"/>
          <w:kern w:val="2"/>
          <w:szCs w:val="60"/>
          <w:lang w:val="en-US" w:eastAsia="zh-CN" w:bidi="ar-SA"/>
        </w:rPr>
        <w:t>“</w:t>
      </w:r>
      <w:r>
        <w:rPr>
          <w:rFonts w:hint="eastAsia" w:hAnsi="宋体" w:cs="宋体"/>
          <w:kern w:val="2"/>
          <w:szCs w:val="60"/>
          <w:lang w:val="en-US" w:eastAsia="zh-CN" w:bidi="ar-SA"/>
        </w:rPr>
        <w:t>973计划</w:t>
      </w:r>
      <w:r>
        <w:rPr>
          <w:rFonts w:hint="eastAsia" w:ascii="宋体" w:hAnsi="宋体" w:cs="宋体"/>
          <w:kern w:val="2"/>
          <w:szCs w:val="60"/>
          <w:lang w:val="en-US" w:eastAsia="zh-CN" w:bidi="ar-SA"/>
        </w:rPr>
        <w:t>”</w:t>
      </w:r>
      <w:r>
        <w:rPr>
          <w:rFonts w:hint="eastAsia" w:hAnsi="宋体" w:cs="宋体"/>
          <w:kern w:val="2"/>
          <w:szCs w:val="60"/>
          <w:lang w:val="en-US" w:eastAsia="zh-CN" w:bidi="ar-SA"/>
        </w:rPr>
        <w:t>项目、国家</w:t>
      </w:r>
      <w:r>
        <w:rPr>
          <w:rFonts w:hint="eastAsia" w:ascii="宋体" w:hAnsi="宋体" w:cs="宋体"/>
          <w:kern w:val="2"/>
          <w:szCs w:val="60"/>
          <w:lang w:val="en-US" w:eastAsia="zh-CN" w:bidi="ar-SA"/>
        </w:rPr>
        <w:t>“</w:t>
      </w:r>
      <w:r>
        <w:rPr>
          <w:rFonts w:hint="eastAsia" w:hAnsi="宋体" w:cs="宋体"/>
          <w:kern w:val="2"/>
          <w:szCs w:val="60"/>
          <w:lang w:val="en-US" w:eastAsia="zh-CN" w:bidi="ar-SA"/>
        </w:rPr>
        <w:t>重大新药创制</w:t>
      </w:r>
      <w:r>
        <w:rPr>
          <w:rFonts w:hint="eastAsia" w:ascii="宋体" w:hAnsi="宋体" w:cs="宋体"/>
          <w:kern w:val="2"/>
          <w:szCs w:val="60"/>
          <w:lang w:val="en-US" w:eastAsia="zh-CN" w:bidi="ar-SA"/>
        </w:rPr>
        <w:t>”</w:t>
      </w:r>
      <w:r>
        <w:rPr>
          <w:rFonts w:hint="eastAsia" w:hAnsi="宋体" w:cs="宋体"/>
          <w:kern w:val="2"/>
          <w:szCs w:val="60"/>
          <w:lang w:val="en-US" w:eastAsia="zh-CN" w:bidi="ar-SA"/>
        </w:rPr>
        <w:t>科技重大专项、国家重点研发计划</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中医药现代化</w:t>
      </w:r>
      <w:r>
        <w:rPr>
          <w:rFonts w:hint="eastAsia" w:ascii="宋体" w:hAnsi="宋体" w:cs="宋体"/>
          <w:kern w:val="2"/>
          <w:szCs w:val="60"/>
          <w:lang w:val="en-US" w:eastAsia="zh-CN" w:bidi="ar-SA"/>
        </w:rPr>
        <w:t>”</w:t>
      </w:r>
      <w:r>
        <w:rPr>
          <w:rFonts w:hint="eastAsia" w:hAnsi="宋体" w:cs="宋体"/>
          <w:kern w:val="2"/>
          <w:szCs w:val="60"/>
          <w:lang w:val="en-US" w:eastAsia="zh-CN" w:bidi="ar-SA"/>
        </w:rPr>
        <w:t>重点专项、国家自然科学基金重点项目等重大科研任务。近三年新增纵横向课题1000余项、科研经费7.1亿余元。</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多年来，学校获得了一批标志性成果，包括国家科学技术进步一等奖2项、二等奖12项；省部级科技重大成就奖1项，天津市科学技术进步特等奖、一等奖，教育部科技进步一等奖等各类科技奖项100余项。聚焦</w:t>
      </w:r>
      <w:r>
        <w:rPr>
          <w:rFonts w:hint="eastAsia" w:ascii="宋体" w:hAnsi="宋体" w:cs="宋体"/>
          <w:kern w:val="2"/>
          <w:szCs w:val="60"/>
          <w:lang w:val="en-US" w:eastAsia="zh-CN" w:bidi="ar-SA"/>
        </w:rPr>
        <w:t>“</w:t>
      </w:r>
      <w:r>
        <w:rPr>
          <w:rFonts w:hint="eastAsia" w:hAnsi="宋体" w:cs="宋体"/>
          <w:kern w:val="2"/>
          <w:szCs w:val="60"/>
          <w:lang w:val="en-US" w:eastAsia="zh-CN" w:bidi="ar-SA"/>
        </w:rPr>
        <w:t>建设世界科技强国，实现高水平科技自立自强</w:t>
      </w:r>
      <w:r>
        <w:rPr>
          <w:rFonts w:hint="eastAsia" w:ascii="宋体" w:hAnsi="宋体" w:cs="宋体"/>
          <w:kern w:val="2"/>
          <w:szCs w:val="60"/>
          <w:lang w:val="en-US" w:eastAsia="zh-CN" w:bidi="ar-SA"/>
        </w:rPr>
        <w:t>”</w:t>
      </w:r>
      <w:r>
        <w:rPr>
          <w:rFonts w:hint="eastAsia" w:hAnsi="宋体" w:cs="宋体"/>
          <w:kern w:val="2"/>
          <w:szCs w:val="60"/>
          <w:lang w:val="en-US" w:eastAsia="zh-CN" w:bidi="ar-SA"/>
        </w:rPr>
        <w:t>新要求，实施</w:t>
      </w:r>
      <w:r>
        <w:rPr>
          <w:rFonts w:hint="eastAsia" w:ascii="宋体" w:hAnsi="宋体" w:cs="宋体"/>
          <w:kern w:val="2"/>
          <w:szCs w:val="60"/>
          <w:lang w:val="en-US" w:eastAsia="zh-CN" w:bidi="ar-SA"/>
        </w:rPr>
        <w:t>“</w:t>
      </w:r>
      <w:r>
        <w:rPr>
          <w:rFonts w:hint="eastAsia" w:hAnsi="宋体" w:cs="宋体"/>
          <w:kern w:val="2"/>
          <w:szCs w:val="60"/>
          <w:lang w:val="en-US" w:eastAsia="zh-CN" w:bidi="ar-SA"/>
        </w:rPr>
        <w:t>优势互补，协同攻关，重点突破，整体提升</w:t>
      </w:r>
      <w:r>
        <w:rPr>
          <w:rFonts w:hint="eastAsia" w:ascii="宋体" w:hAnsi="宋体" w:cs="宋体"/>
          <w:kern w:val="2"/>
          <w:szCs w:val="60"/>
          <w:lang w:val="en-US" w:eastAsia="zh-CN" w:bidi="ar-SA"/>
        </w:rPr>
        <w:t>”</w:t>
      </w:r>
      <w:r>
        <w:rPr>
          <w:rFonts w:hint="eastAsia" w:hAnsi="宋体" w:cs="宋体"/>
          <w:kern w:val="2"/>
          <w:szCs w:val="60"/>
          <w:lang w:val="en-US" w:eastAsia="zh-CN" w:bidi="ar-SA"/>
        </w:rPr>
        <w:t>发展策略，服务经济社会与产业发展。特别是原创性提出中成药二次开发理论、方法与技术策略，突破中成药二次开发共性关键核心技术，完成了天津市30余个中成药品种二次开发研究，成果在全国19个省市近百家中药企业推广应用，推动产业技术升级换代，中药大品种集群形成，产生了巨大社会和经济效益，获得2014年国家科学技术进步一等奖。学校社会服务能力显著增强，获批国家医学攻关产教融合创新平台，组建认定为天津市大学科技园，参与中日（天津）健康产业发展合作示范区建设。</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新冠疫情期间，学校的科研团队联合京津冀和武汉科研医疗单位，将临床救治和科研攻关协同推进，在全国率先完成了新冠肺炎大样本中医证候学调查研究和药物筛选研究；制定了全疗程中医药规范化治疗方案；承担国家科技应急攻关项目，研制了第一个新冠肺炎临床疗效评价核心指标集，率先完成了对数十个中成药的临床评价研究；研发了中药新药</w:t>
      </w:r>
      <w:r>
        <w:rPr>
          <w:rFonts w:hint="eastAsia" w:ascii="宋体" w:hAnsi="宋体" w:cs="宋体"/>
          <w:kern w:val="2"/>
          <w:szCs w:val="60"/>
          <w:lang w:val="en-US" w:eastAsia="zh-CN" w:bidi="ar-SA"/>
        </w:rPr>
        <w:t>“</w:t>
      </w:r>
      <w:r>
        <w:rPr>
          <w:rFonts w:hint="eastAsia" w:hAnsi="宋体" w:cs="宋体"/>
          <w:kern w:val="2"/>
          <w:szCs w:val="60"/>
          <w:lang w:val="en-US" w:eastAsia="zh-CN" w:bidi="ar-SA"/>
        </w:rPr>
        <w:t>宣肺败毒方</w:t>
      </w:r>
      <w:r>
        <w:rPr>
          <w:rFonts w:hint="eastAsia" w:ascii="宋体" w:hAnsi="宋体" w:cs="宋体"/>
          <w:kern w:val="2"/>
          <w:szCs w:val="60"/>
          <w:lang w:val="en-US" w:eastAsia="zh-CN" w:bidi="ar-SA"/>
        </w:rPr>
        <w:t>”</w:t>
      </w:r>
      <w:r>
        <w:rPr>
          <w:rFonts w:hint="eastAsia" w:hAnsi="宋体" w:cs="宋体"/>
          <w:kern w:val="2"/>
          <w:szCs w:val="60"/>
          <w:lang w:val="en-US" w:eastAsia="zh-CN" w:bidi="ar-SA"/>
        </w:rPr>
        <w:t>，纳入国家推荐</w:t>
      </w:r>
      <w:r>
        <w:rPr>
          <w:rFonts w:hint="eastAsia" w:ascii="宋体" w:hAnsi="宋体" w:cs="宋体"/>
          <w:kern w:val="2"/>
          <w:szCs w:val="60"/>
          <w:lang w:val="en-US" w:eastAsia="zh-CN" w:bidi="ar-SA"/>
        </w:rPr>
        <w:t>“</w:t>
      </w:r>
      <w:r>
        <w:rPr>
          <w:rFonts w:hint="eastAsia" w:hAnsi="宋体" w:cs="宋体"/>
          <w:kern w:val="2"/>
          <w:szCs w:val="60"/>
          <w:lang w:val="en-US" w:eastAsia="zh-CN" w:bidi="ar-SA"/>
        </w:rPr>
        <w:t>三药三方</w:t>
      </w:r>
      <w:r>
        <w:rPr>
          <w:rFonts w:hint="eastAsia" w:ascii="宋体" w:hAnsi="宋体" w:cs="宋体"/>
          <w:kern w:val="2"/>
          <w:szCs w:val="60"/>
          <w:lang w:val="en-US" w:eastAsia="zh-CN" w:bidi="ar-SA"/>
        </w:rPr>
        <w:t>”</w:t>
      </w:r>
      <w:r>
        <w:rPr>
          <w:rFonts w:hint="eastAsia" w:hAnsi="宋体" w:cs="宋体"/>
          <w:kern w:val="2"/>
          <w:szCs w:val="60"/>
          <w:lang w:val="en-US" w:eastAsia="zh-CN" w:bidi="ar-SA"/>
        </w:rPr>
        <w:t>，完成新药研发并成功转化；研发新冠恢复期中药新药清金益气颗粒并成功转让；研发了</w:t>
      </w:r>
      <w:r>
        <w:rPr>
          <w:rFonts w:hint="eastAsia" w:ascii="宋体" w:hAnsi="宋体" w:cs="宋体"/>
          <w:kern w:val="2"/>
          <w:szCs w:val="60"/>
          <w:lang w:val="en-US" w:eastAsia="zh-CN" w:bidi="ar-SA"/>
        </w:rPr>
        <w:t>“</w:t>
      </w:r>
      <w:r>
        <w:rPr>
          <w:rFonts w:hint="eastAsia" w:hAnsi="宋体" w:cs="宋体"/>
          <w:kern w:val="2"/>
          <w:szCs w:val="60"/>
          <w:lang w:val="en-US" w:eastAsia="zh-CN" w:bidi="ar-SA"/>
        </w:rPr>
        <w:t>清感饮</w:t>
      </w:r>
      <w:r>
        <w:rPr>
          <w:rFonts w:hint="eastAsia" w:ascii="宋体" w:hAnsi="宋体" w:cs="宋体"/>
          <w:kern w:val="2"/>
          <w:szCs w:val="60"/>
          <w:lang w:val="en-US" w:eastAsia="zh-CN" w:bidi="ar-SA"/>
        </w:rPr>
        <w:t>”</w:t>
      </w:r>
      <w:r>
        <w:rPr>
          <w:rFonts w:hint="eastAsia" w:hAnsi="宋体" w:cs="宋体"/>
          <w:kern w:val="2"/>
          <w:szCs w:val="60"/>
          <w:lang w:val="en-US" w:eastAsia="zh-CN" w:bidi="ar-SA"/>
        </w:rPr>
        <w:t>系列茶药并在天津市医疗机构调剂使用。张伯礼院士荣获</w:t>
      </w:r>
      <w:r>
        <w:rPr>
          <w:rFonts w:hint="eastAsia" w:ascii="宋体" w:hAnsi="宋体" w:cs="宋体"/>
          <w:kern w:val="2"/>
          <w:szCs w:val="60"/>
          <w:lang w:val="en-US" w:eastAsia="zh-CN" w:bidi="ar-SA"/>
        </w:rPr>
        <w:t>“</w:t>
      </w:r>
      <w:r>
        <w:rPr>
          <w:rFonts w:hint="eastAsia" w:hAnsi="宋体" w:cs="宋体"/>
          <w:kern w:val="2"/>
          <w:szCs w:val="60"/>
          <w:lang w:val="en-US" w:eastAsia="zh-CN" w:bidi="ar-SA"/>
        </w:rPr>
        <w:t>人民英雄</w:t>
      </w:r>
      <w:r>
        <w:rPr>
          <w:rFonts w:hint="eastAsia" w:ascii="宋体" w:hAnsi="宋体" w:cs="宋体"/>
          <w:kern w:val="2"/>
          <w:szCs w:val="60"/>
          <w:lang w:val="en-US" w:eastAsia="zh-CN" w:bidi="ar-SA"/>
        </w:rPr>
        <w:t>”</w:t>
      </w:r>
      <w:r>
        <w:rPr>
          <w:rFonts w:hint="eastAsia" w:hAnsi="宋体" w:cs="宋体"/>
          <w:kern w:val="2"/>
          <w:szCs w:val="60"/>
          <w:lang w:val="en-US" w:eastAsia="zh-CN" w:bidi="ar-SA"/>
        </w:rPr>
        <w:t>国家荣誉称号；组分中药国家重点实验室获得</w:t>
      </w:r>
      <w:r>
        <w:rPr>
          <w:rFonts w:hint="eastAsia" w:ascii="宋体" w:hAnsi="宋体" w:cs="宋体"/>
          <w:kern w:val="2"/>
          <w:szCs w:val="60"/>
          <w:lang w:val="en-US" w:eastAsia="zh-CN" w:bidi="ar-SA"/>
        </w:rPr>
        <w:t>“</w:t>
      </w:r>
      <w:r>
        <w:rPr>
          <w:rFonts w:hint="eastAsia" w:hAnsi="宋体" w:cs="宋体"/>
          <w:kern w:val="2"/>
          <w:szCs w:val="60"/>
          <w:lang w:val="en-US" w:eastAsia="zh-CN" w:bidi="ar-SA"/>
        </w:rPr>
        <w:t>全国抗击新冠肺炎疫情先进集体</w:t>
      </w:r>
      <w:r>
        <w:rPr>
          <w:rFonts w:hint="eastAsia" w:ascii="宋体" w:hAnsi="宋体" w:cs="宋体"/>
          <w:kern w:val="2"/>
          <w:szCs w:val="60"/>
          <w:lang w:val="en-US" w:eastAsia="zh-CN" w:bidi="ar-SA"/>
        </w:rPr>
        <w:t>”</w:t>
      </w:r>
      <w:r>
        <w:rPr>
          <w:rFonts w:hint="eastAsia" w:hAnsi="宋体" w:cs="宋体"/>
          <w:kern w:val="2"/>
          <w:szCs w:val="60"/>
          <w:lang w:val="en-US" w:eastAsia="zh-CN" w:bidi="ar-SA"/>
        </w:rPr>
        <w:t>荣誉称号。</w:t>
      </w:r>
    </w:p>
    <w:p>
      <w:pPr>
        <w:pStyle w:val="164"/>
        <w:spacing w:line="360" w:lineRule="auto"/>
        <w:ind w:firstLine="420"/>
        <w:jc w:val="both"/>
        <w:rPr>
          <w:rFonts w:hint="eastAsia" w:hAnsi="宋体" w:cs="宋体"/>
          <w:kern w:val="2"/>
          <w:szCs w:val="60"/>
          <w:lang w:val="en-US" w:eastAsia="zh-CN" w:bidi="ar-SA"/>
        </w:rPr>
      </w:pPr>
      <w:r>
        <w:rPr>
          <w:rFonts w:hint="eastAsia" w:hAnsi="宋体" w:cs="宋体"/>
          <w:kern w:val="2"/>
          <w:szCs w:val="60"/>
          <w:lang w:val="en-US" w:eastAsia="zh-CN" w:bidi="ar-SA"/>
        </w:rPr>
        <w:t>学校以中医药对外教育为特色。学校的国际教育、交流与合作发轫于上世纪80年代，特别是1992年加挂中国传统医药国际学院院牌以来，深耕中医药国际教育30余年。作为世界中医药学会联合会教育指导委员会会长单位，组织研究制定的《世界中医学本科（CMD前）教育标准》已由世界中医药学会联合会正式发布，成为全球第一个中医药教育国际标准。制定了《世界中医学专业核心课程》《世界中医学专业核心课程教学大纲》，编译《世界中医学专业核心课程教材》，明确了世界中医学专业内涵，规范了核心课程教学内容。学校是教育部</w:t>
      </w:r>
      <w:r>
        <w:rPr>
          <w:rFonts w:hint="eastAsia" w:ascii="宋体" w:hAnsi="宋体" w:cs="宋体"/>
          <w:kern w:val="2"/>
          <w:szCs w:val="60"/>
          <w:lang w:val="en-US" w:eastAsia="zh-CN" w:bidi="ar-SA"/>
        </w:rPr>
        <w:t>“</w:t>
      </w:r>
      <w:r>
        <w:rPr>
          <w:rFonts w:hint="eastAsia" w:hAnsi="宋体" w:cs="宋体"/>
          <w:kern w:val="2"/>
          <w:szCs w:val="60"/>
          <w:lang w:val="en-US" w:eastAsia="zh-CN" w:bidi="ar-SA"/>
        </w:rPr>
        <w:t>教育援外基地</w:t>
      </w:r>
      <w:r>
        <w:rPr>
          <w:rFonts w:hint="eastAsia" w:ascii="宋体" w:hAnsi="宋体" w:cs="宋体"/>
          <w:kern w:val="2"/>
          <w:szCs w:val="60"/>
          <w:lang w:val="en-US" w:eastAsia="zh-CN" w:bidi="ar-SA"/>
        </w:rPr>
        <w:t>”</w:t>
      </w:r>
      <w:r>
        <w:rPr>
          <w:rFonts w:hint="eastAsia" w:hAnsi="宋体" w:cs="宋体"/>
          <w:kern w:val="2"/>
          <w:szCs w:val="60"/>
          <w:lang w:val="en-US" w:eastAsia="zh-CN" w:bidi="ar-SA"/>
        </w:rPr>
        <w:t>、教育部和外交部</w:t>
      </w:r>
      <w:r>
        <w:rPr>
          <w:rFonts w:hint="eastAsia" w:ascii="宋体" w:hAnsi="宋体" w:cs="宋体"/>
          <w:kern w:val="2"/>
          <w:szCs w:val="60"/>
          <w:lang w:val="en-US" w:eastAsia="zh-CN" w:bidi="ar-SA"/>
        </w:rPr>
        <w:t>“</w:t>
      </w:r>
      <w:r>
        <w:rPr>
          <w:rFonts w:hint="eastAsia" w:hAnsi="宋体" w:cs="宋体"/>
          <w:kern w:val="2"/>
          <w:szCs w:val="60"/>
          <w:lang w:val="en-US" w:eastAsia="zh-CN" w:bidi="ar-SA"/>
        </w:rPr>
        <w:t>中国东盟教育培训中心</w:t>
      </w:r>
      <w:r>
        <w:rPr>
          <w:rFonts w:hint="eastAsia" w:ascii="宋体" w:hAnsi="宋体" w:cs="宋体"/>
          <w:kern w:val="2"/>
          <w:szCs w:val="60"/>
          <w:lang w:val="en-US" w:eastAsia="zh-CN" w:bidi="ar-SA"/>
        </w:rPr>
        <w:t>”</w:t>
      </w:r>
      <w:r>
        <w:rPr>
          <w:rFonts w:hint="eastAsia" w:hAnsi="宋体" w:cs="宋体"/>
          <w:kern w:val="2"/>
          <w:szCs w:val="60"/>
          <w:lang w:val="en-US" w:eastAsia="zh-CN" w:bidi="ar-SA"/>
        </w:rPr>
        <w:t>、国家中医药管理局</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中医药国际合作基地</w:t>
      </w:r>
      <w:r>
        <w:rPr>
          <w:rFonts w:hint="eastAsia" w:ascii="宋体" w:hAnsi="宋体" w:cs="宋体"/>
          <w:kern w:val="2"/>
          <w:szCs w:val="60"/>
          <w:lang w:val="en-US" w:eastAsia="zh-CN" w:bidi="ar-SA"/>
        </w:rPr>
        <w:t>”</w:t>
      </w:r>
      <w:r>
        <w:rPr>
          <w:rFonts w:hint="eastAsia" w:hAnsi="宋体" w:cs="宋体"/>
          <w:kern w:val="2"/>
          <w:szCs w:val="60"/>
          <w:lang w:val="en-US" w:eastAsia="zh-CN" w:bidi="ar-SA"/>
        </w:rPr>
        <w:t>和</w:t>
      </w:r>
      <w:r>
        <w:rPr>
          <w:rFonts w:hint="eastAsia" w:ascii="宋体" w:hAnsi="宋体" w:cs="宋体"/>
          <w:kern w:val="2"/>
          <w:szCs w:val="60"/>
          <w:lang w:val="en-US" w:eastAsia="zh-CN" w:bidi="ar-SA"/>
        </w:rPr>
        <w:t>“</w:t>
      </w:r>
      <w:r>
        <w:rPr>
          <w:rFonts w:hint="eastAsia" w:hAnsi="宋体" w:cs="宋体"/>
          <w:kern w:val="2"/>
          <w:szCs w:val="60"/>
          <w:lang w:val="en-US" w:eastAsia="zh-CN" w:bidi="ar-SA"/>
        </w:rPr>
        <w:t>首批中医药国际合作专项建设单位</w:t>
      </w:r>
      <w:r>
        <w:rPr>
          <w:rFonts w:hint="eastAsia" w:ascii="宋体" w:hAnsi="宋体" w:cs="宋体"/>
          <w:kern w:val="2"/>
          <w:szCs w:val="60"/>
          <w:lang w:val="en-US" w:eastAsia="zh-CN" w:bidi="ar-SA"/>
        </w:rPr>
        <w:t>”</w:t>
      </w:r>
      <w:r>
        <w:rPr>
          <w:rFonts w:hint="eastAsia" w:hAnsi="宋体" w:cs="宋体"/>
          <w:kern w:val="2"/>
          <w:szCs w:val="60"/>
          <w:lang w:val="en-US" w:eastAsia="zh-CN" w:bidi="ar-SA"/>
        </w:rPr>
        <w:t>、世界中联</w:t>
      </w:r>
      <w:r>
        <w:rPr>
          <w:rFonts w:hint="eastAsia" w:ascii="宋体" w:hAnsi="宋体" w:cs="宋体"/>
          <w:kern w:val="2"/>
          <w:szCs w:val="60"/>
          <w:lang w:val="en-US" w:eastAsia="zh-CN" w:bidi="ar-SA"/>
        </w:rPr>
        <w:t>“</w:t>
      </w:r>
      <w:r>
        <w:rPr>
          <w:rFonts w:hint="eastAsia" w:hAnsi="宋体" w:cs="宋体"/>
          <w:kern w:val="2"/>
          <w:szCs w:val="60"/>
          <w:lang w:val="en-US" w:eastAsia="zh-CN" w:bidi="ar-SA"/>
        </w:rPr>
        <w:t>一带一路</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中医药教育师资培训基地(天津)。与教育部中外人文交流中心合作共建</w:t>
      </w:r>
      <w:r>
        <w:rPr>
          <w:rFonts w:hint="eastAsia" w:ascii="宋体" w:hAnsi="宋体" w:cs="宋体"/>
          <w:kern w:val="2"/>
          <w:szCs w:val="60"/>
          <w:lang w:val="en-US" w:eastAsia="zh-CN" w:bidi="ar-SA"/>
        </w:rPr>
        <w:t>“</w:t>
      </w:r>
      <w:r>
        <w:rPr>
          <w:rFonts w:hint="eastAsia" w:hAnsi="宋体" w:cs="宋体"/>
          <w:kern w:val="2"/>
          <w:szCs w:val="60"/>
          <w:lang w:val="en-US" w:eastAsia="zh-CN" w:bidi="ar-SA"/>
        </w:rPr>
        <w:t>中医药中外人文交流研究院</w:t>
      </w:r>
      <w:r>
        <w:rPr>
          <w:rFonts w:hint="eastAsia" w:ascii="宋体" w:hAnsi="宋体" w:cs="宋体"/>
          <w:kern w:val="2"/>
          <w:szCs w:val="60"/>
          <w:lang w:val="en-US" w:eastAsia="zh-CN" w:bidi="ar-SA"/>
        </w:rPr>
        <w:t>”</w:t>
      </w:r>
      <w:r>
        <w:rPr>
          <w:rFonts w:hint="eastAsia" w:hAnsi="宋体" w:cs="宋体"/>
          <w:kern w:val="2"/>
          <w:szCs w:val="60"/>
          <w:lang w:val="en-US" w:eastAsia="zh-CN" w:bidi="ar-SA"/>
        </w:rPr>
        <w:t>，入选商务部和国家中医药管理局首批</w:t>
      </w:r>
      <w:r>
        <w:rPr>
          <w:rFonts w:hint="eastAsia" w:ascii="宋体" w:hAnsi="宋体" w:cs="宋体"/>
          <w:kern w:val="2"/>
          <w:szCs w:val="60"/>
          <w:lang w:val="en-US" w:eastAsia="zh-CN" w:bidi="ar-SA"/>
        </w:rPr>
        <w:t>“</w:t>
      </w:r>
      <w:r>
        <w:rPr>
          <w:rFonts w:hint="eastAsia" w:hAnsi="宋体" w:cs="宋体"/>
          <w:kern w:val="2"/>
          <w:szCs w:val="60"/>
          <w:lang w:val="en-US" w:eastAsia="zh-CN" w:bidi="ar-SA"/>
        </w:rPr>
        <w:t>国家中医药服务出口基地</w:t>
      </w:r>
      <w:r>
        <w:rPr>
          <w:rFonts w:hint="eastAsia" w:ascii="宋体" w:hAnsi="宋体" w:cs="宋体"/>
          <w:kern w:val="2"/>
          <w:szCs w:val="60"/>
          <w:lang w:val="en-US" w:eastAsia="zh-CN" w:bidi="ar-SA"/>
        </w:rPr>
        <w:t>”</w:t>
      </w:r>
      <w:r>
        <w:rPr>
          <w:rFonts w:hint="eastAsia" w:hAnsi="宋体" w:cs="宋体"/>
          <w:kern w:val="2"/>
          <w:szCs w:val="60"/>
          <w:lang w:val="en-US" w:eastAsia="zh-CN" w:bidi="ar-SA"/>
        </w:rPr>
        <w:t>，荣获</w:t>
      </w:r>
      <w:r>
        <w:rPr>
          <w:rFonts w:hint="eastAsia" w:ascii="宋体" w:hAnsi="宋体" w:cs="宋体"/>
          <w:kern w:val="2"/>
          <w:szCs w:val="60"/>
          <w:lang w:val="en-US" w:eastAsia="zh-CN" w:bidi="ar-SA"/>
        </w:rPr>
        <w:t>“</w:t>
      </w:r>
      <w:r>
        <w:rPr>
          <w:rFonts w:hint="eastAsia" w:hAnsi="宋体" w:cs="宋体"/>
          <w:kern w:val="2"/>
          <w:szCs w:val="60"/>
          <w:lang w:val="en-US" w:eastAsia="zh-CN" w:bidi="ar-SA"/>
        </w:rPr>
        <w:t>2019优秀中国—东盟教育培训中心</w:t>
      </w:r>
      <w:r>
        <w:rPr>
          <w:rFonts w:hint="eastAsia" w:ascii="宋体" w:hAnsi="宋体" w:cs="宋体"/>
          <w:kern w:val="2"/>
          <w:szCs w:val="60"/>
          <w:lang w:val="en-US" w:eastAsia="zh-CN" w:bidi="ar-SA"/>
        </w:rPr>
        <w:t>”</w:t>
      </w:r>
      <w:r>
        <w:rPr>
          <w:rFonts w:hint="eastAsia" w:hAnsi="宋体" w:cs="宋体"/>
          <w:kern w:val="2"/>
          <w:szCs w:val="60"/>
          <w:lang w:val="en-US" w:eastAsia="zh-CN" w:bidi="ar-SA"/>
        </w:rPr>
        <w:t>奖，探索</w:t>
      </w:r>
      <w:r>
        <w:rPr>
          <w:rFonts w:hint="eastAsia" w:ascii="宋体" w:hAnsi="宋体" w:cs="宋体"/>
          <w:kern w:val="2"/>
          <w:szCs w:val="60"/>
          <w:lang w:val="en-US" w:eastAsia="zh-CN" w:bidi="ar-SA"/>
        </w:rPr>
        <w:t>“</w:t>
      </w:r>
      <w:r>
        <w:rPr>
          <w:rFonts w:hint="eastAsia" w:hAnsi="宋体" w:cs="宋体"/>
          <w:kern w:val="2"/>
          <w:szCs w:val="60"/>
          <w:lang w:val="en-US" w:eastAsia="zh-CN" w:bidi="ar-SA"/>
        </w:rPr>
        <w:t>互联网＋中医药</w:t>
      </w:r>
      <w:r>
        <w:rPr>
          <w:rFonts w:hint="eastAsia" w:ascii="宋体" w:hAnsi="宋体" w:cs="宋体"/>
          <w:kern w:val="2"/>
          <w:szCs w:val="60"/>
          <w:lang w:val="en-US" w:eastAsia="zh-CN" w:bidi="ar-SA"/>
        </w:rPr>
        <w:t>”</w:t>
      </w:r>
      <w:r>
        <w:rPr>
          <w:rFonts w:hint="eastAsia" w:hAnsi="宋体" w:cs="宋体"/>
          <w:kern w:val="2"/>
          <w:szCs w:val="60"/>
          <w:lang w:val="en-US" w:eastAsia="zh-CN" w:bidi="ar-SA"/>
        </w:rPr>
        <w:t>服务贸易新模式，成功入选2020年中国国际服务贸易交易会业态创新示范案例。学校是教育部</w:t>
      </w:r>
      <w:r>
        <w:rPr>
          <w:rFonts w:hint="eastAsia" w:ascii="宋体" w:hAnsi="宋体" w:cs="宋体"/>
          <w:kern w:val="2"/>
          <w:szCs w:val="60"/>
          <w:lang w:val="en-US" w:eastAsia="zh-CN" w:bidi="ar-SA"/>
        </w:rPr>
        <w:t>“</w:t>
      </w:r>
      <w:r>
        <w:rPr>
          <w:rFonts w:hint="eastAsia" w:hAnsi="宋体" w:cs="宋体"/>
          <w:kern w:val="2"/>
          <w:szCs w:val="60"/>
          <w:lang w:val="en-US" w:eastAsia="zh-CN" w:bidi="ar-SA"/>
        </w:rPr>
        <w:t>中非高校20+20合作计划</w:t>
      </w:r>
      <w:r>
        <w:rPr>
          <w:rFonts w:hint="eastAsia" w:ascii="宋体" w:hAnsi="宋体" w:cs="宋体"/>
          <w:kern w:val="2"/>
          <w:szCs w:val="60"/>
          <w:lang w:val="en-US" w:eastAsia="zh-CN" w:bidi="ar-SA"/>
        </w:rPr>
        <w:t>”</w:t>
      </w:r>
      <w:r>
        <w:rPr>
          <w:rFonts w:hint="eastAsia" w:hAnsi="宋体" w:cs="宋体"/>
          <w:kern w:val="2"/>
          <w:szCs w:val="60"/>
          <w:lang w:val="en-US" w:eastAsia="zh-CN" w:bidi="ar-SA"/>
        </w:rPr>
        <w:t>项目唯一中医药院校。学校于2008年成立全球首家中医孔子课堂——日本神户东洋医疗学院孔子课堂，2016年成立泰国首家中医孔子学院——泰国华侨崇圣大学中医孔子学院。学校与世界40多个国家和地区建立了友好合作关系。与英国诺丁汉大学合作举办临床药学专业本科中外合作办学项目荣获</w:t>
      </w:r>
      <w:r>
        <w:rPr>
          <w:rFonts w:hint="eastAsia" w:ascii="宋体" w:hAnsi="宋体" w:cs="宋体"/>
          <w:kern w:val="2"/>
          <w:szCs w:val="60"/>
          <w:lang w:val="en-US" w:eastAsia="zh-CN" w:bidi="ar-SA"/>
        </w:rPr>
        <w:t>“</w:t>
      </w:r>
      <w:r>
        <w:rPr>
          <w:rFonts w:hint="eastAsia" w:hAnsi="宋体" w:cs="宋体"/>
          <w:kern w:val="2"/>
          <w:szCs w:val="60"/>
          <w:lang w:val="en-US" w:eastAsia="zh-CN" w:bidi="ar-SA"/>
        </w:rPr>
        <w:t>英国泰晤士报高等教育奖</w:t>
      </w:r>
      <w:r>
        <w:rPr>
          <w:rFonts w:hint="eastAsia" w:ascii="宋体" w:hAnsi="宋体" w:cs="宋体"/>
          <w:kern w:val="2"/>
          <w:szCs w:val="60"/>
          <w:lang w:val="en-US" w:eastAsia="zh-CN" w:bidi="ar-SA"/>
        </w:rPr>
        <w:t>”</w:t>
      </w:r>
      <w:r>
        <w:rPr>
          <w:rFonts w:hint="eastAsia" w:hAnsi="宋体" w:cs="宋体"/>
          <w:kern w:val="2"/>
          <w:szCs w:val="60"/>
          <w:lang w:val="en-US" w:eastAsia="zh-CN" w:bidi="ar-SA"/>
        </w:rPr>
        <w:t>最佳国际合作项目提名，两校国际教育合作被列入中英两国卫生领域国家合作项目。</w:t>
      </w:r>
    </w:p>
    <w:p>
      <w:pPr>
        <w:pStyle w:val="164"/>
        <w:spacing w:line="360" w:lineRule="auto"/>
        <w:ind w:firstLine="420"/>
        <w:jc w:val="both"/>
        <w:rPr>
          <w:rFonts w:hAnsi="宋体" w:cs="宋体"/>
          <w:kern w:val="2"/>
          <w:szCs w:val="60"/>
          <w:lang w:val="en-US" w:eastAsia="zh-CN" w:bidi="ar-SA"/>
        </w:rPr>
        <w:sectPr>
          <w:headerReference r:id="rId5" w:type="default"/>
          <w:footerReference r:id="rId7" w:type="default"/>
          <w:headerReference r:id="rId6" w:type="even"/>
          <w:footerReference r:id="rId8" w:type="even"/>
          <w:footnotePr>
            <w:numRestart w:val="eachPage"/>
          </w:footnotePr>
          <w:pgSz w:w="11906" w:h="16838"/>
          <w:pgMar w:top="1985" w:right="1531" w:bottom="1701" w:left="1701" w:header="964" w:footer="851" w:gutter="0"/>
          <w:pgNumType w:start="1"/>
          <w:cols w:space="708" w:num="1"/>
          <w:docGrid w:linePitch="360" w:charSpace="0"/>
        </w:sectPr>
      </w:pPr>
      <w:r>
        <w:rPr>
          <w:rFonts w:hint="eastAsia" w:hAnsi="宋体" w:cs="宋体"/>
          <w:kern w:val="2"/>
          <w:szCs w:val="60"/>
          <w:lang w:val="en-US" w:eastAsia="zh-CN" w:bidi="ar-SA"/>
        </w:rPr>
        <w:t>学校坚持和加强党的全面领导，高举中国特色社会主义伟大旗帜，以马克思列宁主义、毛泽东思想、邓小平理论、</w:t>
      </w:r>
      <w:r>
        <w:rPr>
          <w:rFonts w:hint="eastAsia" w:ascii="宋体" w:hAnsi="宋体" w:cs="宋体"/>
          <w:kern w:val="2"/>
          <w:szCs w:val="60"/>
          <w:lang w:val="en-US" w:eastAsia="zh-CN" w:bidi="ar-SA"/>
        </w:rPr>
        <w:t>“</w:t>
      </w:r>
      <w:r>
        <w:rPr>
          <w:rFonts w:hint="eastAsia" w:hAnsi="宋体" w:cs="宋体"/>
          <w:kern w:val="2"/>
          <w:szCs w:val="60"/>
          <w:lang w:val="en-US" w:eastAsia="zh-CN" w:bidi="ar-SA"/>
        </w:rPr>
        <w:t>三个代表</w:t>
      </w:r>
      <w:r>
        <w:rPr>
          <w:rFonts w:hint="eastAsia" w:ascii="宋体" w:hAnsi="宋体" w:cs="宋体"/>
          <w:kern w:val="2"/>
          <w:szCs w:val="60"/>
          <w:lang w:val="en-US" w:eastAsia="zh-CN" w:bidi="ar-SA"/>
        </w:rPr>
        <w:t>”</w:t>
      </w:r>
      <w:r>
        <w:rPr>
          <w:rFonts w:hint="eastAsia" w:hAnsi="宋体" w:cs="宋体"/>
          <w:kern w:val="2"/>
          <w:szCs w:val="60"/>
          <w:lang w:val="en-US" w:eastAsia="zh-CN" w:bidi="ar-SA"/>
        </w:rPr>
        <w:t>重要思想、科学发展观、习近平新时代中国特色社会主义思想为指导，增强</w:t>
      </w:r>
      <w:r>
        <w:rPr>
          <w:rFonts w:hint="eastAsia" w:ascii="宋体" w:hAnsi="宋体" w:cs="宋体"/>
          <w:kern w:val="2"/>
          <w:szCs w:val="60"/>
          <w:lang w:val="en-US" w:eastAsia="zh-CN" w:bidi="ar-SA"/>
        </w:rPr>
        <w:t>“</w:t>
      </w:r>
      <w:r>
        <w:rPr>
          <w:rFonts w:hint="eastAsia" w:hAnsi="宋体" w:cs="宋体"/>
          <w:kern w:val="2"/>
          <w:szCs w:val="60"/>
          <w:lang w:val="en-US" w:eastAsia="zh-CN" w:bidi="ar-SA"/>
        </w:rPr>
        <w:t>四个意识</w:t>
      </w:r>
      <w:r>
        <w:rPr>
          <w:rFonts w:hint="eastAsia" w:ascii="宋体" w:hAnsi="宋体" w:cs="宋体"/>
          <w:kern w:val="2"/>
          <w:szCs w:val="60"/>
          <w:lang w:val="en-US" w:eastAsia="zh-CN" w:bidi="ar-SA"/>
        </w:rPr>
        <w:t>”</w:t>
      </w:r>
      <w:r>
        <w:rPr>
          <w:rFonts w:hint="eastAsia" w:hAnsi="宋体" w:cs="宋体"/>
          <w:kern w:val="2"/>
          <w:szCs w:val="60"/>
          <w:lang w:val="en-US" w:eastAsia="zh-CN" w:bidi="ar-SA"/>
        </w:rPr>
        <w:t>、坚定</w:t>
      </w:r>
      <w:r>
        <w:rPr>
          <w:rFonts w:hint="eastAsia" w:ascii="宋体" w:hAnsi="宋体" w:cs="宋体"/>
          <w:kern w:val="2"/>
          <w:szCs w:val="60"/>
          <w:lang w:val="en-US" w:eastAsia="zh-CN" w:bidi="ar-SA"/>
        </w:rPr>
        <w:t>“</w:t>
      </w:r>
      <w:r>
        <w:rPr>
          <w:rFonts w:hint="eastAsia" w:hAnsi="宋体" w:cs="宋体"/>
          <w:kern w:val="2"/>
          <w:szCs w:val="60"/>
          <w:lang w:val="en-US" w:eastAsia="zh-CN" w:bidi="ar-SA"/>
        </w:rPr>
        <w:t>四个自信</w:t>
      </w:r>
      <w:r>
        <w:rPr>
          <w:rFonts w:hint="eastAsia" w:ascii="宋体" w:hAnsi="宋体" w:cs="宋体"/>
          <w:kern w:val="2"/>
          <w:szCs w:val="60"/>
          <w:lang w:val="en-US" w:eastAsia="zh-CN" w:bidi="ar-SA"/>
        </w:rPr>
        <w:t>”</w:t>
      </w:r>
      <w:r>
        <w:rPr>
          <w:rFonts w:hint="eastAsia" w:hAnsi="宋体" w:cs="宋体"/>
          <w:kern w:val="2"/>
          <w:szCs w:val="60"/>
          <w:lang w:val="en-US" w:eastAsia="zh-CN" w:bidi="ar-SA"/>
        </w:rPr>
        <w:t>、做到</w:t>
      </w:r>
      <w:r>
        <w:rPr>
          <w:rFonts w:hint="eastAsia" w:ascii="宋体" w:hAnsi="宋体" w:cs="宋体"/>
          <w:kern w:val="2"/>
          <w:szCs w:val="60"/>
          <w:lang w:val="en-US" w:eastAsia="zh-CN" w:bidi="ar-SA"/>
        </w:rPr>
        <w:t>“</w:t>
      </w:r>
      <w:r>
        <w:rPr>
          <w:rFonts w:hint="eastAsia" w:hAnsi="宋体" w:cs="宋体"/>
          <w:kern w:val="2"/>
          <w:szCs w:val="60"/>
          <w:lang w:val="en-US" w:eastAsia="zh-CN" w:bidi="ar-SA"/>
        </w:rPr>
        <w:t>两个维护</w:t>
      </w:r>
      <w:r>
        <w:rPr>
          <w:rFonts w:hint="eastAsia" w:ascii="宋体" w:hAnsi="宋体" w:cs="宋体"/>
          <w:kern w:val="2"/>
          <w:szCs w:val="60"/>
          <w:lang w:val="en-US" w:eastAsia="zh-CN" w:bidi="ar-SA"/>
        </w:rPr>
        <w:t>”</w:t>
      </w:r>
      <w:r>
        <w:rPr>
          <w:rFonts w:hint="eastAsia" w:hAnsi="宋体" w:cs="宋体"/>
          <w:kern w:val="2"/>
          <w:szCs w:val="60"/>
          <w:lang w:val="en-US" w:eastAsia="zh-CN" w:bidi="ar-SA"/>
        </w:rPr>
        <w:t>，全面贯彻党的基本理论、基本路线、基本方略，全面贯彻党的教育方针，坚持教育为人民服务、为中国共产党治国理政服务、为巩固和发展中国特色社会主义制度服务、为改革开放和社会主义现代化建设服务，坚守为党育人、为国育才，培养德智体美劳全面发展的社会主义建设者和接班人。学校秉承</w:t>
      </w:r>
      <w:r>
        <w:rPr>
          <w:rFonts w:hint="eastAsia" w:ascii="宋体" w:hAnsi="宋体" w:cs="宋体"/>
          <w:kern w:val="2"/>
          <w:szCs w:val="60"/>
          <w:lang w:val="en-US" w:eastAsia="zh-CN" w:bidi="ar-SA"/>
        </w:rPr>
        <w:t>“</w:t>
      </w:r>
      <w:r>
        <w:rPr>
          <w:rFonts w:hint="eastAsia" w:hAnsi="宋体" w:cs="宋体"/>
          <w:kern w:val="2"/>
          <w:szCs w:val="60"/>
          <w:lang w:val="en-US" w:eastAsia="zh-CN" w:bidi="ar-SA"/>
        </w:rPr>
        <w:t>进德修业，继承创新</w:t>
      </w:r>
      <w:r>
        <w:rPr>
          <w:rFonts w:hint="eastAsia" w:ascii="宋体" w:hAnsi="宋体" w:cs="宋体"/>
          <w:kern w:val="2"/>
          <w:szCs w:val="60"/>
          <w:lang w:val="en-US" w:eastAsia="zh-CN" w:bidi="ar-SA"/>
        </w:rPr>
        <w:t>”</w:t>
      </w:r>
      <w:r>
        <w:rPr>
          <w:rFonts w:hint="eastAsia" w:hAnsi="宋体" w:cs="宋体"/>
          <w:kern w:val="2"/>
          <w:szCs w:val="60"/>
          <w:lang w:val="en-US" w:eastAsia="zh-CN" w:bidi="ar-SA"/>
        </w:rPr>
        <w:t>校训，以</w:t>
      </w:r>
      <w:r>
        <w:rPr>
          <w:rFonts w:hint="eastAsia" w:ascii="宋体" w:hAnsi="宋体" w:cs="宋体"/>
          <w:kern w:val="2"/>
          <w:szCs w:val="60"/>
          <w:lang w:val="en-US" w:eastAsia="zh-CN" w:bidi="ar-SA"/>
        </w:rPr>
        <w:t>“</w:t>
      </w:r>
      <w:r>
        <w:rPr>
          <w:rFonts w:hint="eastAsia" w:hAnsi="宋体" w:cs="宋体"/>
          <w:kern w:val="2"/>
          <w:szCs w:val="60"/>
          <w:lang w:val="en-US" w:eastAsia="zh-CN" w:bidi="ar-SA"/>
        </w:rPr>
        <w:t>传承与创新协同，科研与服务并举，以质量求内涵，全面协调发展</w:t>
      </w:r>
      <w:r>
        <w:rPr>
          <w:rFonts w:hint="eastAsia" w:ascii="宋体" w:hAnsi="宋体" w:cs="宋体"/>
          <w:kern w:val="2"/>
          <w:szCs w:val="60"/>
          <w:lang w:val="en-US" w:eastAsia="zh-CN" w:bidi="ar-SA"/>
        </w:rPr>
        <w:t>”</w:t>
      </w:r>
      <w:r>
        <w:rPr>
          <w:rFonts w:hint="eastAsia" w:hAnsi="宋体" w:cs="宋体"/>
          <w:kern w:val="2"/>
          <w:szCs w:val="60"/>
          <w:lang w:val="en-US" w:eastAsia="zh-CN" w:bidi="ar-SA"/>
        </w:rPr>
        <w:t>为发展方针，以</w:t>
      </w:r>
      <w:r>
        <w:rPr>
          <w:rFonts w:hint="eastAsia" w:ascii="宋体" w:hAnsi="宋体" w:cs="宋体"/>
          <w:kern w:val="2"/>
          <w:szCs w:val="60"/>
          <w:lang w:val="en-US" w:eastAsia="zh-CN" w:bidi="ar-SA"/>
        </w:rPr>
        <w:t>“</w:t>
      </w:r>
      <w:r>
        <w:rPr>
          <w:rFonts w:hint="eastAsia" w:hAnsi="宋体" w:cs="宋体"/>
          <w:kern w:val="2"/>
          <w:szCs w:val="60"/>
          <w:lang w:val="en-US" w:eastAsia="zh-CN" w:bidi="ar-SA"/>
        </w:rPr>
        <w:t>做精医学，做强药学，做实健康相关专业，做大社会服务</w:t>
      </w:r>
      <w:r>
        <w:rPr>
          <w:rFonts w:hint="eastAsia" w:ascii="宋体" w:hAnsi="宋体" w:cs="宋体"/>
          <w:kern w:val="2"/>
          <w:szCs w:val="60"/>
          <w:lang w:val="en-US" w:eastAsia="zh-CN" w:bidi="ar-SA"/>
        </w:rPr>
        <w:t>”</w:t>
      </w:r>
      <w:r>
        <w:rPr>
          <w:rFonts w:hint="eastAsia" w:hAnsi="宋体" w:cs="宋体"/>
          <w:kern w:val="2"/>
          <w:szCs w:val="60"/>
          <w:lang w:val="en-US" w:eastAsia="zh-CN" w:bidi="ar-SA"/>
        </w:rPr>
        <w:t>为发展战略，努力建设中国特色、世界一流的中医药大学</w:t>
      </w:r>
      <w:r>
        <w:rPr>
          <w:rFonts w:hAnsi="宋体" w:cs="宋体"/>
          <w:kern w:val="2"/>
          <w:szCs w:val="60"/>
          <w:lang w:val="en-US" w:eastAsia="zh-CN" w:bidi="ar-SA"/>
        </w:rPr>
        <w:t>。</w:t>
      </w:r>
    </w:p>
    <w:p>
      <w:pPr>
        <w:pStyle w:val="158"/>
        <w:jc w:val="left"/>
        <w:rPr>
          <w:rFonts w:cs="宋体"/>
          <w:color w:val="006699"/>
          <w:szCs w:val="60"/>
        </w:rPr>
      </w:pPr>
      <w:bookmarkStart w:id="4" w:name="_Toc153811505"/>
      <w:bookmarkStart w:id="5" w:name="_Toc153811548"/>
      <w:r>
        <w:rPr>
          <w:rFonts w:cs="宋体"/>
          <w:color w:val="006699"/>
          <w:szCs w:val="60"/>
        </w:rPr>
        <w:drawing>
          <wp:anchor distT="0" distB="0" distL="114300" distR="114300" simplePos="0" relativeHeight="251661312" behindDoc="1" locked="0" layoutInCell="1" allowOverlap="1">
            <wp:simplePos x="0" y="0"/>
            <wp:positionH relativeFrom="column">
              <wp:posOffset>-485775</wp:posOffset>
            </wp:positionH>
            <wp:positionV relativeFrom="paragraph">
              <wp:posOffset>0</wp:posOffset>
            </wp:positionV>
            <wp:extent cx="471170" cy="334645"/>
            <wp:effectExtent l="0" t="0" r="0" b="0"/>
            <wp:wrapNone/>
            <wp:docPr id="15851338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33822"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1170" cy="334645"/>
                    </a:xfrm>
                    <a:prstGeom prst="rect">
                      <a:avLst/>
                    </a:prstGeom>
                    <a:noFill/>
                  </pic:spPr>
                </pic:pic>
              </a:graphicData>
            </a:graphic>
          </wp:anchor>
        </w:drawing>
      </w:r>
      <w:r>
        <w:rPr>
          <w:rFonts w:cs="宋体"/>
          <w:color w:val="006699"/>
          <w:szCs w:val="60"/>
        </w:rPr>
        <w:t>报告说明</w:t>
      </w:r>
      <w:bookmarkEnd w:id="4"/>
      <w:bookmarkEnd w:id="5"/>
    </w:p>
    <w:p>
      <w:pPr>
        <w:keepLines/>
        <w:widowControl/>
        <w:ind w:firstLine="420"/>
        <w:rPr>
          <w:color w:val="000000"/>
          <w:szCs w:val="21"/>
        </w:rPr>
      </w:pPr>
      <w:r>
        <w:rPr>
          <w:rFonts w:hint="eastAsia"/>
          <w:color w:val="000000"/>
          <w:szCs w:val="21"/>
        </w:rPr>
        <w:t>就业是民生之本，党的二十大报告提出要</w:t>
      </w:r>
      <w:r>
        <w:rPr>
          <w:rFonts w:hint="eastAsia" w:ascii="宋体" w:hAnsi="宋体" w:cs="宋体"/>
          <w:color w:val="000000"/>
          <w:szCs w:val="21"/>
        </w:rPr>
        <w:t>“</w:t>
      </w:r>
      <w:r>
        <w:rPr>
          <w:rFonts w:hint="eastAsia"/>
          <w:color w:val="000000"/>
          <w:szCs w:val="21"/>
        </w:rPr>
        <w:t>强化就业优先政策，健全就业促进机制，促进高质量充分就业</w:t>
      </w:r>
      <w:r>
        <w:rPr>
          <w:rFonts w:hint="eastAsia" w:ascii="宋体" w:hAnsi="宋体" w:cs="宋体"/>
          <w:color w:val="000000"/>
          <w:szCs w:val="21"/>
        </w:rPr>
        <w:t>”</w:t>
      </w:r>
      <w:r>
        <w:rPr>
          <w:rFonts w:hint="eastAsia"/>
          <w:color w:val="000000"/>
          <w:szCs w:val="21"/>
        </w:rPr>
        <w:t>。毕业生就业质量年度报告是学校教育教学和人才培养工作开展效果的重要反映，是招生计划编制、专业结构调整优化、教育教学改革的重要参考，是促进人才培养和毕业生就业质量同步提升的重要检测手段，也是对学校就业创业工作的年度体检。加强就业数据统计分析工作，编制毕业生就业质量年度报告，能够系统反映学校就业工作实际情况，展示教育教学成果，并为后续人才培养的持续改进提供数据支撑。</w:t>
      </w:r>
    </w:p>
    <w:p>
      <w:pPr>
        <w:keepLines/>
        <w:widowControl/>
        <w:ind w:firstLine="420"/>
        <w:rPr>
          <w:color w:val="000000"/>
          <w:szCs w:val="21"/>
        </w:rPr>
      </w:pPr>
      <w:r>
        <w:rPr>
          <w:rFonts w:hint="eastAsia"/>
          <w:color w:val="000000"/>
          <w:szCs w:val="21"/>
        </w:rPr>
        <w:t>学校根据《教育部关于做好2023届全国普通高校毕业生就业创业工作的通知》（教学〔2022〕5号）、《教育部办公厅关于编制发布高校毕业生就业质量年度报告的通知》（教学厅函〔2013〕25号）等文件精神，结合学校实际情况，编制和正式发布《天津中医药大学</w:t>
      </w:r>
      <w:r>
        <w:rPr>
          <w:color w:val="000000"/>
          <w:szCs w:val="21"/>
        </w:rPr>
        <w:t>2023</w:t>
      </w:r>
      <w:r>
        <w:rPr>
          <w:rFonts w:hint="eastAsia"/>
          <w:color w:val="000000"/>
          <w:szCs w:val="21"/>
        </w:rPr>
        <w:t>年毕业生就业质量年度报告》。</w:t>
      </w:r>
    </w:p>
    <w:p>
      <w:pPr>
        <w:spacing w:after="120"/>
      </w:pPr>
    </w:p>
    <w:p>
      <w:pPr>
        <w:ind w:left="945" w:leftChars="450"/>
        <w:rPr>
          <w:b/>
          <w:bCs/>
          <w:color w:val="1F4E79"/>
          <w:kern w:val="0"/>
          <w:sz w:val="28"/>
        </w:rPr>
      </w:pPr>
      <w:r>
        <w:rPr>
          <w:rFonts w:hint="eastAsia"/>
          <w:b/>
          <w:color w:val="006699"/>
          <w:sz w:val="28"/>
          <w:szCs w:val="28"/>
        </w:rPr>
        <w:t>报告中的数据来源于以下两个方面</w:t>
      </w:r>
    </w:p>
    <w:p>
      <w:pPr>
        <w:ind w:left="2730" w:leftChars="1300"/>
        <w:rPr>
          <w:b/>
          <w:bCs/>
          <w:color w:val="006699"/>
          <w:szCs w:val="21"/>
        </w:rPr>
      </w:pPr>
      <w:r>
        <w:drawing>
          <wp:anchor distT="0" distB="0" distL="114300" distR="114300" simplePos="0" relativeHeight="251697152" behindDoc="1" locked="0" layoutInCell="1" allowOverlap="1">
            <wp:simplePos x="0" y="0"/>
            <wp:positionH relativeFrom="column">
              <wp:posOffset>659130</wp:posOffset>
            </wp:positionH>
            <wp:positionV relativeFrom="paragraph">
              <wp:posOffset>28575</wp:posOffset>
            </wp:positionV>
            <wp:extent cx="838835" cy="828040"/>
            <wp:effectExtent l="0" t="0" r="0" b="0"/>
            <wp:wrapNone/>
            <wp:docPr id="557141617"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41617" name="Picture 3" descr="A picture containing text, vector graphic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38835" cy="828040"/>
                    </a:xfrm>
                    <a:prstGeom prst="rect">
                      <a:avLst/>
                    </a:prstGeom>
                    <a:noFill/>
                  </pic:spPr>
                </pic:pic>
              </a:graphicData>
            </a:graphic>
          </wp:anchor>
        </w:drawing>
      </w:r>
      <w:r>
        <w:rPr>
          <w:rFonts w:hint="eastAsia"/>
          <w:b/>
          <w:bCs/>
          <w:color w:val="006699"/>
          <w:szCs w:val="21"/>
        </w:rPr>
        <w:t>天津中医药大学</w:t>
      </w:r>
      <w:r>
        <w:rPr>
          <w:b/>
          <w:bCs/>
          <w:color w:val="006699"/>
          <w:szCs w:val="21"/>
        </w:rPr>
        <w:t>2023届毕业生就业数据</w:t>
      </w:r>
    </w:p>
    <w:p>
      <w:pPr>
        <w:spacing w:line="300" w:lineRule="auto"/>
        <w:ind w:left="2730" w:leftChars="1300"/>
        <w:rPr>
          <w:color w:val="000000"/>
          <w:szCs w:val="21"/>
        </w:rPr>
      </w:pPr>
      <w:r>
        <w:rPr>
          <w:color w:val="000000"/>
          <w:szCs w:val="21"/>
        </w:rPr>
        <w:t>数据统计截止日期为2023年9月1日</w:t>
      </w:r>
      <w:r>
        <w:rPr>
          <w:rFonts w:hint="eastAsia"/>
          <w:color w:val="000000"/>
          <w:szCs w:val="21"/>
        </w:rPr>
        <w:t>。</w:t>
      </w:r>
    </w:p>
    <w:p>
      <w:pPr>
        <w:spacing w:line="300" w:lineRule="auto"/>
        <w:ind w:left="2730" w:leftChars="1300"/>
        <w:rPr>
          <w:color w:val="000000"/>
          <w:szCs w:val="21"/>
        </w:rPr>
      </w:pPr>
      <w:r>
        <w:rPr>
          <w:color w:val="000000"/>
          <w:szCs w:val="21"/>
        </w:rPr>
        <w:t>主要涵盖就业基本情况等方面</w:t>
      </w:r>
      <w:r>
        <w:rPr>
          <w:rFonts w:hint="eastAsia"/>
          <w:color w:val="000000"/>
          <w:szCs w:val="21"/>
        </w:rPr>
        <w:t>内容。</w:t>
      </w:r>
    </w:p>
    <w:p>
      <w:pPr>
        <w:rPr>
          <w:b/>
          <w:bCs/>
          <w:color w:val="3399FF"/>
          <w:szCs w:val="21"/>
        </w:rPr>
      </w:pPr>
    </w:p>
    <w:p>
      <w:pPr>
        <w:rPr>
          <w:rFonts w:hint="eastAsia"/>
          <w:b/>
          <w:bCs/>
          <w:color w:val="3399FF"/>
          <w:szCs w:val="21"/>
        </w:rPr>
      </w:pPr>
    </w:p>
    <w:p>
      <w:pPr>
        <w:ind w:left="2730" w:leftChars="1300"/>
        <w:rPr>
          <w:b/>
          <w:bCs/>
          <w:color w:val="006699"/>
          <w:szCs w:val="21"/>
        </w:rPr>
      </w:pPr>
      <w:r>
        <w:drawing>
          <wp:anchor distT="0" distB="0" distL="114300" distR="114300" simplePos="0" relativeHeight="251696128" behindDoc="1" locked="0" layoutInCell="1" allowOverlap="1">
            <wp:simplePos x="0" y="0"/>
            <wp:positionH relativeFrom="column">
              <wp:posOffset>659130</wp:posOffset>
            </wp:positionH>
            <wp:positionV relativeFrom="paragraph">
              <wp:posOffset>27305</wp:posOffset>
            </wp:positionV>
            <wp:extent cx="838835" cy="828040"/>
            <wp:effectExtent l="0" t="0" r="0" b="0"/>
            <wp:wrapNone/>
            <wp:docPr id="70521950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19502" name="Picture 2"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38835" cy="828040"/>
                    </a:xfrm>
                    <a:prstGeom prst="rect">
                      <a:avLst/>
                    </a:prstGeom>
                    <a:noFill/>
                  </pic:spPr>
                </pic:pic>
              </a:graphicData>
            </a:graphic>
          </wp:anchor>
        </w:drawing>
      </w:r>
      <w:r>
        <w:rPr>
          <w:b/>
          <w:bCs/>
          <w:color w:val="006699"/>
          <w:szCs w:val="21"/>
        </w:rPr>
        <w:t>第三方专业机构调研数据</w:t>
      </w:r>
    </w:p>
    <w:p>
      <w:pPr>
        <w:spacing w:after="120" w:afterLines="50" w:line="300" w:lineRule="auto"/>
        <w:ind w:left="2730" w:leftChars="1300"/>
        <w:rPr>
          <w:color w:val="000000"/>
          <w:szCs w:val="21"/>
        </w:rPr>
      </w:pPr>
      <w:r>
        <w:rPr>
          <w:color w:val="006699"/>
          <w:szCs w:val="21"/>
        </w:rPr>
        <w:t>毕</w:t>
      </w:r>
      <w:r>
        <w:rPr>
          <w:bCs/>
          <w:color w:val="006699"/>
          <w:szCs w:val="21"/>
        </w:rPr>
        <w:t>业生调研数据：</w:t>
      </w:r>
      <w:r>
        <w:rPr>
          <w:color w:val="000000"/>
          <w:szCs w:val="21"/>
        </w:rPr>
        <w:t>调查面向</w:t>
      </w:r>
      <w:r>
        <w:rPr>
          <w:rFonts w:hint="eastAsia"/>
          <w:color w:val="000000"/>
          <w:szCs w:val="21"/>
        </w:rPr>
        <w:t>我</w:t>
      </w:r>
      <w:r>
        <w:rPr>
          <w:color w:val="000000"/>
          <w:szCs w:val="21"/>
        </w:rPr>
        <w:t>校2023届</w:t>
      </w:r>
      <w:r>
        <w:rPr>
          <w:rFonts w:hint="eastAsia"/>
          <w:color w:val="000000"/>
          <w:szCs w:val="21"/>
        </w:rPr>
        <w:t>本科</w:t>
      </w:r>
      <w:r>
        <w:rPr>
          <w:color w:val="000000"/>
          <w:szCs w:val="21"/>
        </w:rPr>
        <w:t>毕业生，共回收有效问卷1533份，回收问卷数量占毕业生总人数的59.2%，主要涵盖就业特点、就业相关分析、就业对教育教学的反馈等方面内容。</w:t>
      </w:r>
    </w:p>
    <w:p>
      <w:pPr>
        <w:spacing w:after="120" w:afterLines="50" w:line="300" w:lineRule="auto"/>
        <w:ind w:left="2730" w:leftChars="1300"/>
        <w:rPr>
          <w:color w:val="000000"/>
          <w:szCs w:val="21"/>
        </w:rPr>
      </w:pPr>
      <w:r>
        <w:rPr>
          <w:rFonts w:hint="eastAsia"/>
          <w:bCs/>
          <w:color w:val="006699"/>
          <w:szCs w:val="21"/>
        </w:rPr>
        <w:t>用人单位调研数据：</w:t>
      </w:r>
      <w:r>
        <w:rPr>
          <w:color w:val="000000"/>
          <w:szCs w:val="21"/>
        </w:rPr>
        <w:t>调研面向招聘我校</w:t>
      </w:r>
      <w:r>
        <w:rPr>
          <w:rFonts w:hint="eastAsia"/>
          <w:color w:val="000000"/>
          <w:szCs w:val="21"/>
        </w:rPr>
        <w:t>本科</w:t>
      </w:r>
      <w:r>
        <w:rPr>
          <w:color w:val="000000"/>
          <w:szCs w:val="21"/>
        </w:rPr>
        <w:t>应届毕业生的用人单位，</w:t>
      </w:r>
      <w:r>
        <w:rPr>
          <w:rFonts w:hint="eastAsia"/>
          <w:color w:val="000000"/>
          <w:szCs w:val="21"/>
        </w:rPr>
        <w:t>截至</w:t>
      </w:r>
      <w:r>
        <w:rPr>
          <w:color w:val="000000"/>
          <w:szCs w:val="21"/>
        </w:rPr>
        <w:t>2023</w:t>
      </w:r>
      <w:r>
        <w:rPr>
          <w:rFonts w:hint="eastAsia"/>
          <w:color w:val="000000"/>
          <w:szCs w:val="21"/>
        </w:rPr>
        <w:t>年</w:t>
      </w:r>
      <w:r>
        <w:rPr>
          <w:color w:val="000000"/>
          <w:szCs w:val="21"/>
        </w:rPr>
        <w:t>12</w:t>
      </w:r>
      <w:r>
        <w:rPr>
          <w:rFonts w:hint="eastAsia"/>
          <w:color w:val="000000"/>
          <w:szCs w:val="21"/>
        </w:rPr>
        <w:t>月</w:t>
      </w:r>
      <w:r>
        <w:rPr>
          <w:color w:val="000000"/>
          <w:szCs w:val="21"/>
        </w:rPr>
        <w:t>15</w:t>
      </w:r>
      <w:r>
        <w:rPr>
          <w:rFonts w:hint="eastAsia"/>
          <w:color w:val="000000"/>
          <w:szCs w:val="21"/>
        </w:rPr>
        <w:t>日，综合</w:t>
      </w:r>
      <w:r>
        <w:rPr>
          <w:color w:val="000000"/>
          <w:szCs w:val="21"/>
        </w:rPr>
        <w:t>回收有效问卷93份，主要涵盖用人单位的聘用情况以及对</w:t>
      </w:r>
      <w:r>
        <w:rPr>
          <w:rFonts w:hint="eastAsia"/>
          <w:color w:val="000000"/>
          <w:szCs w:val="21"/>
        </w:rPr>
        <w:t>我</w:t>
      </w:r>
      <w:r>
        <w:rPr>
          <w:color w:val="000000"/>
          <w:szCs w:val="21"/>
        </w:rPr>
        <w:t>校毕业生的使用评价等方面的内容</w:t>
      </w:r>
      <w:r>
        <w:rPr>
          <w:rFonts w:hint="eastAsia"/>
          <w:color w:val="000000"/>
          <w:szCs w:val="21"/>
        </w:rPr>
        <w:t>。</w:t>
      </w:r>
    </w:p>
    <w:p>
      <w:pPr>
        <w:spacing w:after="120" w:afterLines="50" w:line="300" w:lineRule="auto"/>
        <w:ind w:left="2730" w:leftChars="1300"/>
        <w:rPr>
          <w:rFonts w:hint="eastAsia"/>
          <w:color w:val="000000"/>
          <w:szCs w:val="21"/>
        </w:rPr>
      </w:pPr>
    </w:p>
    <w:p>
      <w:pPr>
        <w:spacing w:before="120" w:beforeLines="50" w:line="300" w:lineRule="auto"/>
        <w:ind w:left="2730" w:leftChars="1300"/>
        <w:rPr>
          <w:color w:val="000000"/>
          <w:szCs w:val="21"/>
        </w:rPr>
        <w:sectPr>
          <w:footnotePr>
            <w:numRestart w:val="eachPage"/>
          </w:footnotePr>
          <w:pgSz w:w="11906" w:h="16838"/>
          <w:pgMar w:top="1985" w:right="1531" w:bottom="1701" w:left="1701" w:header="964" w:footer="851" w:gutter="0"/>
          <w:cols w:space="708" w:num="1"/>
          <w:docGrid w:linePitch="360" w:charSpace="0"/>
        </w:sectPr>
      </w:pPr>
    </w:p>
    <w:p>
      <w:p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62336" behindDoc="0" locked="0" layoutInCell="1" allowOverlap="1">
                <wp:simplePos x="0" y="0"/>
                <wp:positionH relativeFrom="page">
                  <wp:posOffset>295275</wp:posOffset>
                </wp:positionH>
                <wp:positionV relativeFrom="page">
                  <wp:posOffset>4532630</wp:posOffset>
                </wp:positionV>
                <wp:extent cx="3888105" cy="460375"/>
                <wp:effectExtent l="0" t="0" r="0" b="0"/>
                <wp:wrapNone/>
                <wp:docPr id="761222022" name="Rectangle 100004"/>
                <wp:cNvGraphicFramePr/>
                <a:graphic xmlns:a="http://schemas.openxmlformats.org/drawingml/2006/main">
                  <a:graphicData uri="http://schemas.microsoft.com/office/word/2010/wordprocessingShape">
                    <wps:wsp>
                      <wps:cNvSpPr>
                        <a:spLocks noChangeArrowheads="1"/>
                      </wps:cNvSpPr>
                      <wps:spPr bwMode="auto">
                        <a:xfrm>
                          <a:off x="0" y="0"/>
                          <a:ext cx="3888105"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23.25pt;margin-top:356.9pt;height:36.25pt;width:306.15pt;mso-position-horizontal-relative:page;mso-position-vertical-relative:page;z-index:251662336;v-text-anchor:middle;mso-width-relative:page;mso-height-relative:page;" fillcolor="#579DC2" filled="t" stroked="f" coordsize="21600,21600" o:gfxdata="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AktD&#10;2gAAAAoBAAAPAAAAAAAAAAEAIAAAACIAAABkcnMvZG93bnJldi54bWxQSwECFAAUAAAACACHTuJA&#10;AHhLVB8CAAA4BAAADgAAAAAAAAABACAAAAApAQAAZHJzL2Uyb0RvYy54bWxQSwUGAAAAAAYABgBZ&#10;AQAAugUAAAAA&#10;">
                <v:fill on="t" focussize="0,0"/>
                <v:stroke on="f"/>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page">
                  <wp:posOffset>320675</wp:posOffset>
                </wp:positionH>
                <wp:positionV relativeFrom="page">
                  <wp:posOffset>3888105</wp:posOffset>
                </wp:positionV>
                <wp:extent cx="3887470" cy="1080135"/>
                <wp:effectExtent l="0" t="1905" r="1905" b="3810"/>
                <wp:wrapNone/>
                <wp:docPr id="1883626745"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3887470"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就业基本情况</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25.25pt;margin-top:306.15pt;height:85.05pt;width:306.1pt;mso-position-horizontal-relative:page;mso-position-vertical-relative:page;z-index:251663360;mso-width-relative:page;mso-height-relative:page;" filled="f" stroked="f" coordsize="21600,21600" o:gfxdata="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jKkX2AAAAAoBAAAPAAAAAAAA&#10;AAEAIAAAACIAAABkcnMvZG93bnJldi54bWxQSwECFAAUAAAACACHTuJAsMMmFBICAAAiBAAADgAA&#10;AAAAAAABACAAAAAnAQAAZHJzL2Uyb0RvYy54bWxQSwUGAAAAAAYABgBZAQAAqwU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就业基本情况</w:t>
                      </w:r>
                    </w:p>
                  </w:txbxContent>
                </v:textbox>
              </v:shape>
            </w:pict>
          </mc:Fallback>
        </mc:AlternateContent>
      </w:r>
      <w: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0" b="0"/>
            <wp:wrapNone/>
            <wp:docPr id="22415740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57400" name="图片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8"/>
        <w:numPr>
          <w:ilvl w:val="1"/>
          <w:numId w:val="12"/>
        </w:numPr>
        <w:ind w:left="0" w:firstLine="0"/>
        <w:jc w:val="center"/>
        <w:rPr>
          <w:rFonts w:cs="宋体"/>
          <w:color w:val="006699"/>
          <w:szCs w:val="60"/>
        </w:rPr>
      </w:pPr>
      <w:bookmarkStart w:id="6" w:name="_Toc153811549"/>
      <w:bookmarkStart w:id="7" w:name="_Toc153811506"/>
      <w:r>
        <w:rPr>
          <w:rFonts w:cs="宋体"/>
          <w:color w:val="006699"/>
          <w:szCs w:val="60"/>
        </w:rPr>
        <w:t>就业基本情况</w:t>
      </w:r>
      <w:bookmarkEnd w:id="6"/>
      <w:bookmarkEnd w:id="7"/>
    </w:p>
    <w:p>
      <w:pPr>
        <w:pStyle w:val="164"/>
        <w:spacing w:line="360" w:lineRule="auto"/>
        <w:ind w:firstLine="420"/>
        <w:jc w:val="both"/>
        <w:rPr>
          <w:rFonts w:cs="宋体"/>
          <w:color w:val="000000"/>
          <w:szCs w:val="60"/>
          <w:lang w:val="en-US" w:eastAsia="zh-CN" w:bidi="ar-SA"/>
        </w:rPr>
      </w:pPr>
      <w:r>
        <w:rPr>
          <w:rFonts w:cs="宋体"/>
          <w:b/>
          <w:color w:val="006699"/>
          <w:sz w:val="44"/>
          <w:szCs w:val="60"/>
        </w:rPr>
        <w:drawing>
          <wp:anchor distT="0" distB="0" distL="114300" distR="114300" simplePos="0" relativeHeight="251665408" behindDoc="1" locked="0" layoutInCell="1" allowOverlap="1">
            <wp:simplePos x="0" y="0"/>
            <wp:positionH relativeFrom="margin">
              <wp:posOffset>756285</wp:posOffset>
            </wp:positionH>
            <wp:positionV relativeFrom="margin">
              <wp:posOffset>-179705</wp:posOffset>
            </wp:positionV>
            <wp:extent cx="589915" cy="619125"/>
            <wp:effectExtent l="0" t="0" r="0" b="0"/>
            <wp:wrapNone/>
            <wp:docPr id="3709819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81980" name="图片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9915" cy="619125"/>
                    </a:xfrm>
                    <a:prstGeom prst="rect">
                      <a:avLst/>
                    </a:prstGeom>
                    <a:noFill/>
                  </pic:spPr>
                </pic:pic>
              </a:graphicData>
            </a:graphic>
          </wp:anchor>
        </w:drawing>
      </w:r>
      <w:r>
        <w:rPr>
          <w:rFonts w:cs="宋体"/>
          <w:color w:val="000000"/>
          <w:szCs w:val="60"/>
          <w:lang w:val="en-US" w:eastAsia="zh-CN" w:bidi="ar-SA"/>
        </w:rPr>
        <w:t>本章从毕业生规模与结构、毕业去向落实率、就业流向几个方面对我校毕业生就业基本情况进行统计和分析，了解毕业生的生源特点、毕业落实情况以及就业的区域、行业、职业特点。</w:t>
      </w:r>
    </w:p>
    <w:p>
      <w:pPr>
        <w:pStyle w:val="159"/>
        <w:keepNext w:val="0"/>
        <w:widowControl/>
        <w:numPr>
          <w:ilvl w:val="2"/>
          <w:numId w:val="12"/>
        </w:numPr>
        <w:spacing w:before="120" w:after="120"/>
        <w:ind w:left="0"/>
        <w:rPr>
          <w:rFonts w:cs="宋体"/>
          <w:color w:val="006699"/>
          <w:szCs w:val="60"/>
        </w:rPr>
      </w:pPr>
      <w:bookmarkStart w:id="8" w:name="_Toc153811507"/>
      <w:r>
        <w:rPr>
          <w:rFonts w:cs="宋体"/>
          <w:color w:val="006699"/>
          <w:szCs w:val="60"/>
        </w:rPr>
        <w:drawing>
          <wp:anchor distT="0" distB="0" distL="114300" distR="114300" simplePos="0" relativeHeight="251666432" behindDoc="1" locked="0" layoutInCell="1" allowOverlap="1">
            <wp:simplePos x="0" y="0"/>
            <wp:positionH relativeFrom="column">
              <wp:posOffset>967740</wp:posOffset>
            </wp:positionH>
            <wp:positionV relativeFrom="paragraph">
              <wp:posOffset>36195</wp:posOffset>
            </wp:positionV>
            <wp:extent cx="471805" cy="334645"/>
            <wp:effectExtent l="0" t="0" r="0" b="0"/>
            <wp:wrapNone/>
            <wp:docPr id="6977327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2775" name="图片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szCs w:val="60"/>
        </w:rPr>
        <w:t>毕业生规模和结构</w:t>
      </w:r>
      <w:bookmarkEnd w:id="8"/>
    </w:p>
    <w:p>
      <w:pPr>
        <w:ind w:firstLine="420"/>
        <w:rPr>
          <w:lang w:val="en-US" w:eastAsia="zh-CN" w:bidi="ar-SA"/>
        </w:rPr>
      </w:pPr>
      <w:r>
        <w:rPr>
          <w:lang w:val="en-US" w:eastAsia="zh-CN" w:bidi="ar-SA"/>
        </w:rPr>
        <w:t>天津中医药大学</w:t>
      </w:r>
      <w:r>
        <w:rPr>
          <w:rFonts w:hint="eastAsia"/>
          <w:lang w:val="en-US" w:eastAsia="zh-CN" w:bidi="ar-SA"/>
        </w:rPr>
        <w:t>202</w:t>
      </w:r>
      <w:r>
        <w:rPr>
          <w:lang w:val="en-US" w:eastAsia="zh-CN" w:bidi="ar-SA"/>
        </w:rPr>
        <w:t>3</w:t>
      </w:r>
      <w:r>
        <w:rPr>
          <w:rFonts w:hint="eastAsia"/>
          <w:lang w:val="en-US" w:eastAsia="zh-CN" w:bidi="ar-SA"/>
        </w:rPr>
        <w:t>届本科毕业生总人数为</w:t>
      </w:r>
      <w:r>
        <w:rPr>
          <w:lang w:val="en-US" w:eastAsia="zh-CN" w:bidi="ar-SA"/>
        </w:rPr>
        <w:t>2588人</w:t>
      </w:r>
      <w:r>
        <w:rPr>
          <w:rFonts w:hint="eastAsia"/>
          <w:lang w:val="en-US" w:eastAsia="zh-CN" w:bidi="ar-SA"/>
        </w:rPr>
        <w:t>。学校专业布局以中医药为主，医、理、文、管、工、教育多学科协调发展，</w:t>
      </w:r>
      <w:r>
        <w:rPr>
          <w:rFonts w:cs="宋体"/>
          <w:color w:val="000000"/>
          <w:szCs w:val="60"/>
          <w:lang w:val="en-US" w:eastAsia="zh-CN" w:bidi="ar-SA"/>
        </w:rPr>
        <w:t>规模较大的学院是</w:t>
      </w:r>
      <w:r>
        <w:rPr>
          <w:rFonts w:hint="eastAsia" w:cs="宋体"/>
          <w:color w:val="000000"/>
          <w:szCs w:val="60"/>
          <w:lang w:val="en-US" w:eastAsia="zh-CN" w:bidi="ar-SA"/>
        </w:rPr>
        <w:t>中医学院、护理</w:t>
      </w:r>
      <w:r>
        <w:rPr>
          <w:rFonts w:cs="宋体"/>
          <w:color w:val="000000"/>
          <w:szCs w:val="60"/>
          <w:lang w:val="en-US" w:eastAsia="zh-CN" w:bidi="ar-SA"/>
        </w:rPr>
        <w:t>学院、</w:t>
      </w:r>
      <w:r>
        <w:rPr>
          <w:rFonts w:hint="eastAsia" w:cs="宋体"/>
          <w:color w:val="000000"/>
          <w:szCs w:val="60"/>
          <w:lang w:val="en-US" w:eastAsia="zh-CN" w:bidi="ar-SA"/>
        </w:rPr>
        <w:t>中药学院，规模较大的专业是护理学、中医学（五年制）、制药工程</w:t>
      </w:r>
      <w:r>
        <w:rPr>
          <w:rFonts w:hint="eastAsia"/>
          <w:lang w:val="en-US" w:eastAsia="zh-CN" w:bidi="ar-SA"/>
        </w:rPr>
        <w:t>。</w:t>
      </w:r>
    </w:p>
    <w:p>
      <w:pPr>
        <w:pStyle w:val="161"/>
        <w:widowControl/>
        <w:numPr>
          <w:ilvl w:val="4"/>
          <w:numId w:val="12"/>
        </w:numPr>
        <w:spacing w:line="320" w:lineRule="auto"/>
        <w:outlineLvl w:val="9"/>
        <w:rPr>
          <w:rFonts w:cs="宋体"/>
          <w:color w:val="006699"/>
          <w:szCs w:val="60"/>
        </w:rPr>
      </w:pPr>
      <w:r>
        <w:rPr>
          <w:rFonts w:cs="宋体"/>
          <w:color w:val="006699"/>
          <w:szCs w:val="60"/>
        </w:rPr>
        <w:t>毕业生总人数</w:t>
      </w:r>
    </w:p>
    <w:p>
      <w:pPr>
        <w:pStyle w:val="164"/>
        <w:spacing w:line="360" w:lineRule="auto"/>
        <w:ind w:firstLine="420"/>
        <w:jc w:val="both"/>
        <w:rPr>
          <w:rFonts w:cs="宋体"/>
          <w:color w:val="000000"/>
          <w:szCs w:val="60"/>
          <w:lang w:val="en-US" w:eastAsia="zh-CN" w:bidi="ar-SA"/>
        </w:rPr>
      </w:pPr>
      <w:r>
        <w:rPr>
          <w:rFonts w:cs="宋体"/>
          <w:color w:val="000000"/>
          <w:szCs w:val="60"/>
          <w:lang w:val="en-US" w:eastAsia="zh-CN" w:bidi="ar-SA"/>
        </w:rPr>
        <w:t>我校2023届</w:t>
      </w:r>
      <w:r>
        <w:rPr>
          <w:rFonts w:hint="eastAsia" w:cs="宋体"/>
          <w:color w:val="000000"/>
          <w:szCs w:val="60"/>
          <w:lang w:val="en-US" w:bidi="ar-SA"/>
        </w:rPr>
        <w:t>本科</w:t>
      </w:r>
      <w:r>
        <w:rPr>
          <w:rFonts w:cs="宋体"/>
          <w:color w:val="000000"/>
          <w:szCs w:val="60"/>
          <w:lang w:val="en-US" w:eastAsia="zh-CN" w:bidi="ar-SA"/>
        </w:rPr>
        <w:t>毕业生总人数为2588人。</w:t>
      </w:r>
    </w:p>
    <w:p>
      <w:pPr>
        <w:rPr>
          <w:rFonts w:cs="宋体"/>
          <w:color w:val="000000"/>
          <w:sz w:val="18"/>
          <w:szCs w:val="60"/>
        </w:rPr>
      </w:pPr>
    </w:p>
    <w:p>
      <w:pPr>
        <w:pStyle w:val="161"/>
        <w:numPr>
          <w:ilvl w:val="4"/>
          <w:numId w:val="12"/>
        </w:numPr>
        <w:spacing w:line="320" w:lineRule="auto"/>
        <w:outlineLvl w:val="9"/>
        <w:rPr>
          <w:rFonts w:cs="宋体"/>
          <w:color w:val="006699"/>
          <w:szCs w:val="60"/>
        </w:rPr>
      </w:pPr>
      <w:r>
        <w:rPr>
          <w:rFonts w:cs="宋体"/>
          <w:color w:val="006699"/>
          <w:szCs w:val="60"/>
        </w:rPr>
        <w:t>各专业毕业生人数</w:t>
      </w:r>
    </w:p>
    <w:p>
      <w:pPr>
        <w:pStyle w:val="164"/>
        <w:keepNext/>
        <w:spacing w:line="360" w:lineRule="auto"/>
        <w:ind w:firstLine="420"/>
        <w:jc w:val="both"/>
        <w:rPr>
          <w:rFonts w:cs="宋体"/>
          <w:color w:val="000000"/>
          <w:szCs w:val="60"/>
          <w:lang w:val="en-US" w:eastAsia="zh-CN" w:bidi="ar-SA"/>
        </w:rPr>
      </w:pPr>
      <w:r>
        <w:rPr>
          <w:rFonts w:cs="宋体"/>
          <w:b/>
          <w:bCs/>
          <w:color w:val="000000"/>
          <w:szCs w:val="60"/>
          <w:lang w:val="en-US" w:eastAsia="zh-CN" w:bidi="ar-SA"/>
        </w:rPr>
        <w:t>专业特色明显，专业布局以</w:t>
      </w:r>
      <w:r>
        <w:rPr>
          <w:b/>
          <w:bCs/>
        </w:rPr>
        <w:t>中医药</w:t>
      </w:r>
      <w:r>
        <w:rPr>
          <w:rFonts w:cs="宋体"/>
          <w:b/>
          <w:bCs/>
          <w:color w:val="000000"/>
          <w:szCs w:val="60"/>
          <w:lang w:val="en-US" w:eastAsia="zh-CN" w:bidi="ar-SA"/>
        </w:rPr>
        <w:t>为主，在</w:t>
      </w:r>
      <w:r>
        <w:rPr>
          <w:b/>
          <w:bCs/>
        </w:rPr>
        <w:t>医、理、文、管、工、教育</w:t>
      </w:r>
      <w:r>
        <w:rPr>
          <w:rFonts w:cs="宋体"/>
          <w:b/>
          <w:bCs/>
          <w:color w:val="000000"/>
          <w:szCs w:val="60"/>
          <w:lang w:val="en-US" w:eastAsia="zh-CN" w:bidi="ar-SA"/>
        </w:rPr>
        <w:t>均有分布，多学科协调发展。</w:t>
      </w:r>
      <w:r>
        <w:rPr>
          <w:rFonts w:cs="宋体"/>
          <w:color w:val="000000"/>
          <w:szCs w:val="60"/>
          <w:lang w:val="en-US" w:eastAsia="zh-CN" w:bidi="ar-SA"/>
        </w:rPr>
        <w:t>我校2023届</w:t>
      </w:r>
      <w:r>
        <w:rPr>
          <w:rFonts w:hint="eastAsia" w:cs="宋体"/>
          <w:color w:val="000000"/>
          <w:szCs w:val="60"/>
          <w:lang w:val="en-US" w:eastAsia="zh-CN" w:bidi="ar-SA"/>
        </w:rPr>
        <w:t>本科</w:t>
      </w:r>
      <w:r>
        <w:rPr>
          <w:rFonts w:cs="宋体"/>
          <w:color w:val="000000"/>
          <w:szCs w:val="60"/>
          <w:lang w:val="en-US" w:eastAsia="zh-CN" w:bidi="ar-SA"/>
        </w:rPr>
        <w:t>毕业生</w:t>
      </w:r>
      <w:r>
        <w:rPr>
          <w:rFonts w:hint="eastAsia" w:cs="宋体"/>
          <w:color w:val="000000"/>
          <w:szCs w:val="60"/>
          <w:lang w:val="en-US" w:eastAsia="zh-CN" w:bidi="ar-SA"/>
        </w:rPr>
        <w:t>规模较大的专业是护理学（</w:t>
      </w:r>
      <w:r>
        <w:rPr>
          <w:rFonts w:hint="eastAsia" w:cs="宋体"/>
          <w:color w:val="000000"/>
          <w:szCs w:val="60"/>
          <w:lang w:val="en-US" w:bidi="ar-SA"/>
        </w:rPr>
        <w:t>4</w:t>
      </w:r>
      <w:r>
        <w:rPr>
          <w:rFonts w:cs="宋体"/>
          <w:color w:val="000000"/>
          <w:szCs w:val="60"/>
          <w:lang w:val="en-US" w:bidi="ar-SA"/>
        </w:rPr>
        <w:t>54</w:t>
      </w:r>
      <w:r>
        <w:rPr>
          <w:rFonts w:hint="eastAsia" w:cs="宋体"/>
          <w:color w:val="000000"/>
          <w:szCs w:val="60"/>
          <w:lang w:val="en-US" w:bidi="ar-SA"/>
        </w:rPr>
        <w:t>人</w:t>
      </w:r>
      <w:r>
        <w:rPr>
          <w:rFonts w:hint="eastAsia" w:cs="宋体"/>
          <w:color w:val="000000"/>
          <w:szCs w:val="60"/>
          <w:lang w:val="en-US" w:eastAsia="zh-CN" w:bidi="ar-SA"/>
        </w:rPr>
        <w:t>）、中医学（五年制）（</w:t>
      </w:r>
      <w:r>
        <w:rPr>
          <w:rFonts w:hint="eastAsia" w:cs="宋体"/>
          <w:color w:val="000000"/>
          <w:szCs w:val="60"/>
          <w:lang w:val="en-US" w:bidi="ar-SA"/>
        </w:rPr>
        <w:t>3</w:t>
      </w:r>
      <w:r>
        <w:rPr>
          <w:rFonts w:cs="宋体"/>
          <w:color w:val="000000"/>
          <w:szCs w:val="60"/>
          <w:lang w:val="en-US" w:bidi="ar-SA"/>
        </w:rPr>
        <w:t>54</w:t>
      </w:r>
      <w:r>
        <w:rPr>
          <w:rFonts w:hint="eastAsia" w:cs="宋体"/>
          <w:color w:val="000000"/>
          <w:szCs w:val="60"/>
          <w:lang w:val="en-US" w:bidi="ar-SA"/>
        </w:rPr>
        <w:t>人</w:t>
      </w:r>
      <w:r>
        <w:rPr>
          <w:rFonts w:hint="eastAsia" w:cs="宋体"/>
          <w:color w:val="000000"/>
          <w:szCs w:val="60"/>
          <w:lang w:val="en-US" w:eastAsia="zh-CN" w:bidi="ar-SA"/>
        </w:rPr>
        <w:t>）、制药工程（</w:t>
      </w:r>
      <w:r>
        <w:rPr>
          <w:rFonts w:hint="eastAsia" w:cs="宋体"/>
          <w:color w:val="000000"/>
          <w:szCs w:val="60"/>
          <w:lang w:val="en-US" w:bidi="ar-SA"/>
        </w:rPr>
        <w:t>1</w:t>
      </w:r>
      <w:r>
        <w:rPr>
          <w:rFonts w:cs="宋体"/>
          <w:color w:val="000000"/>
          <w:szCs w:val="60"/>
          <w:lang w:val="en-US" w:bidi="ar-SA"/>
        </w:rPr>
        <w:t>53</w:t>
      </w:r>
      <w:r>
        <w:rPr>
          <w:rFonts w:hint="eastAsia" w:cs="宋体"/>
          <w:color w:val="000000"/>
          <w:szCs w:val="60"/>
          <w:lang w:val="en-US" w:bidi="ar-SA"/>
        </w:rPr>
        <w:t>人</w:t>
      </w:r>
      <w:r>
        <w:rPr>
          <w:rFonts w:hint="eastAsia" w:cs="宋体"/>
          <w:color w:val="000000"/>
          <w:szCs w:val="60"/>
          <w:lang w:val="en-US" w:eastAsia="zh-CN" w:bidi="ar-SA"/>
        </w:rPr>
        <w:t>）</w:t>
      </w:r>
      <w:r>
        <w:rPr>
          <w:rFonts w:cs="宋体"/>
          <w:color w:val="000000"/>
          <w:szCs w:val="60"/>
          <w:lang w:val="en-US" w:eastAsia="zh-CN" w:bidi="ar-SA"/>
        </w:rPr>
        <w:t>。</w:t>
      </w:r>
    </w:p>
    <w:p>
      <w:pPr>
        <w:pStyle w:val="163"/>
        <w:numPr>
          <w:ilvl w:val="8"/>
          <w:numId w:val="13"/>
        </w:numPr>
        <w:spacing w:before="80" w:line="360" w:lineRule="auto"/>
        <w:rPr>
          <w:kern w:val="0"/>
          <w:szCs w:val="20"/>
        </w:rPr>
      </w:pPr>
      <w:bookmarkStart w:id="9" w:name="_Toc153811550"/>
      <w:r>
        <w:rPr>
          <w:rFonts w:cs="宋体"/>
          <w:color w:val="000000"/>
          <w:szCs w:val="60"/>
        </w:rPr>
        <w:t>各</w:t>
      </w:r>
      <w:r>
        <w:rPr>
          <w:rFonts w:hint="eastAsia" w:cs="宋体"/>
          <w:color w:val="000000"/>
          <w:szCs w:val="60"/>
          <w:lang w:eastAsia="zh-CN"/>
        </w:rPr>
        <w:t>专业</w:t>
      </w:r>
      <w:r>
        <w:rPr>
          <w:rFonts w:cs="宋体"/>
          <w:color w:val="000000"/>
          <w:szCs w:val="60"/>
        </w:rPr>
        <w:t>毕业生人数</w:t>
      </w:r>
      <w:bookmarkEnd w:id="9"/>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616"/>
        <w:gridCol w:w="4078"/>
        <w:gridCol w:w="2196"/>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blHeader/>
        </w:trPr>
        <w:tc>
          <w:tcPr>
            <w:tcW w:w="1157" w:type="pct"/>
            <w:tcBorders>
              <w:bottom w:val="single" w:color="9FDFFF" w:sz="8" w:space="0"/>
            </w:tcBorders>
            <w:shd w:val="clear" w:color="auto" w:fill="006699"/>
            <w:noWrap/>
            <w:vAlign w:val="center"/>
          </w:tcPr>
          <w:p>
            <w:pPr>
              <w:spacing w:line="240" w:lineRule="auto"/>
              <w:jc w:val="center"/>
              <w:rPr>
                <w:b/>
                <w:color w:val="FFFFFF"/>
                <w:sz w:val="20"/>
              </w:rPr>
            </w:pPr>
            <w:r>
              <w:rPr>
                <w:rFonts w:hint="eastAsia"/>
                <w:b/>
                <w:color w:val="FFFFFF"/>
                <w:sz w:val="20"/>
              </w:rPr>
              <w:t>专业名称</w:t>
            </w:r>
          </w:p>
        </w:tc>
        <w:tc>
          <w:tcPr>
            <w:tcW w:w="2451" w:type="pct"/>
            <w:tcBorders>
              <w:bottom w:val="single" w:color="9FDFFF" w:sz="8" w:space="0"/>
            </w:tcBorders>
            <w:shd w:val="clear" w:color="auto" w:fill="23A5C3"/>
            <w:noWrap/>
            <w:vAlign w:val="center"/>
          </w:tcPr>
          <w:p>
            <w:pPr>
              <w:spacing w:line="240" w:lineRule="auto"/>
              <w:jc w:val="center"/>
              <w:rPr>
                <w:rFonts w:hint="eastAsia"/>
                <w:b/>
                <w:color w:val="FFFFFF"/>
                <w:sz w:val="20"/>
              </w:rPr>
            </w:pPr>
            <w:r>
              <w:rPr>
                <w:rFonts w:hint="eastAsia"/>
                <w:b/>
                <w:color w:val="FFFFFF"/>
                <w:sz w:val="20"/>
              </w:rPr>
              <w:t>毕业生人数（人）</w:t>
            </w:r>
          </w:p>
        </w:tc>
        <w:tc>
          <w:tcPr>
            <w:tcW w:w="1392" w:type="pct"/>
            <w:tcBorders>
              <w:bottom w:val="single" w:color="9FDFFF" w:sz="8" w:space="0"/>
            </w:tcBorders>
            <w:shd w:val="clear" w:color="auto" w:fill="66CCCC"/>
            <w:noWrap/>
            <w:vAlign w:val="center"/>
          </w:tcPr>
          <w:p>
            <w:pPr>
              <w:spacing w:line="240" w:lineRule="auto"/>
              <w:jc w:val="center"/>
              <w:rPr>
                <w:rFonts w:hint="eastAsia"/>
                <w:b/>
                <w:color w:val="FFFFFF"/>
                <w:sz w:val="20"/>
              </w:rPr>
            </w:pPr>
            <w:r>
              <w:rPr>
                <w:rFonts w:hint="eastAsia"/>
                <w:b/>
                <w:color w:val="FFFFFF"/>
                <w:sz w:val="20"/>
              </w:rPr>
              <w:t>比例（%）</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护理学</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454</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17.5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中医学（针灸推拿学院）</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29</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中医学（五年制）</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354</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13.7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vAlign w:val="center"/>
          </w:tcPr>
          <w:p>
            <w:pPr>
              <w:spacing w:line="240" w:lineRule="auto"/>
              <w:jc w:val="left"/>
              <w:rPr>
                <w:rFonts w:hint="eastAsia"/>
                <w:color w:val="000000"/>
                <w:sz w:val="20"/>
                <w:szCs w:val="20"/>
              </w:rPr>
            </w:pPr>
            <w:r>
              <w:rPr>
                <w:rFonts w:hint="eastAsia"/>
                <w:color w:val="000000"/>
                <w:sz w:val="20"/>
                <w:szCs w:val="20"/>
              </w:rPr>
              <w:t>中医学（长学制）</w:t>
            </w:r>
          </w:p>
        </w:tc>
        <w:tc>
          <w:tcPr>
            <w:tcW w:w="2451" w:type="pct"/>
            <w:tcBorders>
              <w:bottom w:val="single" w:color="9FDFFF" w:sz="8" w:space="0"/>
            </w:tcBorders>
            <w:shd w:val="clear" w:color="auto" w:fill="E5F7FB"/>
            <w:vAlign w:val="center"/>
          </w:tcPr>
          <w:p>
            <w:pPr>
              <w:spacing w:line="240" w:lineRule="auto"/>
              <w:jc w:val="center"/>
              <w:rPr>
                <w:rFonts w:hint="eastAsia"/>
                <w:color w:val="000000"/>
                <w:sz w:val="20"/>
                <w:szCs w:val="20"/>
              </w:rPr>
            </w:pPr>
            <w:r>
              <w:rPr>
                <w:rFonts w:hint="eastAsia"/>
                <w:color w:val="000000"/>
                <w:sz w:val="20"/>
                <w:szCs w:val="20"/>
              </w:rPr>
              <w:t>145</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5.6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市场营销</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105</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4.1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康复治疗学</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152</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5.9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制药工程</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153</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5.9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中药学</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127</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4.9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中药制药</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104</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4</w:t>
            </w:r>
            <w:r>
              <w:rPr>
                <w:color w:val="000000"/>
                <w:sz w:val="20"/>
              </w:rPr>
              <w:t>.0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临床药学（五年制）</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79</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3.1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应用心理学</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51</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2</w:t>
            </w:r>
            <w:r>
              <w:rPr>
                <w:color w:val="000000"/>
                <w:sz w:val="20"/>
              </w:rPr>
              <w:t>.0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健康服务与管理</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45</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针灸推拿学（五年制）</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120</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4.6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劳动与社会保障</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25</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w:t>
            </w:r>
            <w:r>
              <w:rPr>
                <w:color w:val="000000"/>
                <w:sz w:val="20"/>
              </w:rPr>
              <w:t>.0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药学</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146</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5.6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中药资源与开发</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52</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2</w:t>
            </w:r>
            <w:r>
              <w:rPr>
                <w:color w:val="000000"/>
                <w:sz w:val="20"/>
              </w:rPr>
              <w:t>.0</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药物制剂</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46</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1.8</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中西医临床医学（五年制）</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54</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2.1</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公共事业管理</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45</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汉语国际教育</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43</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汉语言</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49</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传播学</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38</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食品卫生与营养学</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39</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医学信息工程</w:t>
            </w:r>
          </w:p>
        </w:tc>
        <w:tc>
          <w:tcPr>
            <w:tcW w:w="2451" w:type="pct"/>
            <w:tcBorders>
              <w:bottom w:val="single" w:color="9FDFFF" w:sz="8" w:space="0"/>
            </w:tcBorders>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38</w:t>
            </w:r>
          </w:p>
        </w:tc>
        <w:tc>
          <w:tcPr>
            <w:tcW w:w="1392"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tcBorders>
              <w:bottom w:val="single" w:color="9FDFFF" w:sz="8" w:space="0"/>
            </w:tcBorders>
            <w:shd w:val="clear" w:color="auto" w:fill="FFFFFF"/>
            <w:noWrap/>
            <w:vAlign w:val="center"/>
          </w:tcPr>
          <w:p>
            <w:pPr>
              <w:spacing w:line="240" w:lineRule="auto"/>
              <w:jc w:val="left"/>
              <w:rPr>
                <w:rFonts w:hint="eastAsia"/>
                <w:color w:val="000000"/>
                <w:sz w:val="20"/>
                <w:szCs w:val="20"/>
              </w:rPr>
            </w:pPr>
            <w:r>
              <w:rPr>
                <w:rFonts w:hint="eastAsia"/>
                <w:color w:val="000000"/>
                <w:sz w:val="20"/>
                <w:szCs w:val="20"/>
              </w:rPr>
              <w:t>医学实验技术</w:t>
            </w:r>
          </w:p>
        </w:tc>
        <w:tc>
          <w:tcPr>
            <w:tcW w:w="2451" w:type="pct"/>
            <w:tcBorders>
              <w:bottom w:val="single" w:color="9FDFFF" w:sz="8" w:space="0"/>
            </w:tcBorders>
            <w:shd w:val="clear" w:color="auto" w:fill="FFFFFF"/>
            <w:noWrap/>
            <w:vAlign w:val="center"/>
          </w:tcPr>
          <w:p>
            <w:pPr>
              <w:spacing w:line="240" w:lineRule="auto"/>
              <w:jc w:val="center"/>
              <w:rPr>
                <w:rFonts w:hint="eastAsia"/>
                <w:color w:val="000000"/>
                <w:sz w:val="20"/>
                <w:szCs w:val="20"/>
              </w:rPr>
            </w:pPr>
            <w:r>
              <w:rPr>
                <w:rFonts w:hint="eastAsia"/>
                <w:color w:val="000000"/>
                <w:sz w:val="20"/>
                <w:szCs w:val="20"/>
              </w:rPr>
              <w:t>50</w:t>
            </w:r>
          </w:p>
        </w:tc>
        <w:tc>
          <w:tcPr>
            <w:tcW w:w="1392"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1.9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57" w:hRule="atLeast"/>
        </w:trPr>
        <w:tc>
          <w:tcPr>
            <w:tcW w:w="1157" w:type="pct"/>
            <w:shd w:val="clear" w:color="auto" w:fill="DAF1FE"/>
            <w:noWrap/>
            <w:vAlign w:val="center"/>
          </w:tcPr>
          <w:p>
            <w:pPr>
              <w:spacing w:line="240" w:lineRule="auto"/>
              <w:jc w:val="left"/>
              <w:rPr>
                <w:rFonts w:hint="eastAsia"/>
                <w:color w:val="000000"/>
                <w:sz w:val="20"/>
                <w:szCs w:val="20"/>
              </w:rPr>
            </w:pPr>
            <w:r>
              <w:rPr>
                <w:rFonts w:hint="eastAsia"/>
                <w:color w:val="000000"/>
                <w:sz w:val="20"/>
                <w:szCs w:val="20"/>
              </w:rPr>
              <w:t>社会体育指导与管理</w:t>
            </w:r>
          </w:p>
        </w:tc>
        <w:tc>
          <w:tcPr>
            <w:tcW w:w="2451" w:type="pct"/>
            <w:shd w:val="clear" w:color="auto" w:fill="E5F7FB"/>
            <w:noWrap/>
            <w:vAlign w:val="center"/>
          </w:tcPr>
          <w:p>
            <w:pPr>
              <w:spacing w:line="240" w:lineRule="auto"/>
              <w:jc w:val="center"/>
              <w:rPr>
                <w:rFonts w:hint="eastAsia"/>
                <w:color w:val="000000"/>
                <w:sz w:val="20"/>
                <w:szCs w:val="20"/>
              </w:rPr>
            </w:pPr>
            <w:r>
              <w:rPr>
                <w:rFonts w:hint="eastAsia"/>
                <w:color w:val="000000"/>
                <w:sz w:val="20"/>
                <w:szCs w:val="20"/>
              </w:rPr>
              <w:t>45</w:t>
            </w:r>
          </w:p>
        </w:tc>
        <w:tc>
          <w:tcPr>
            <w:tcW w:w="1392" w:type="pct"/>
            <w:shd w:val="clear" w:color="auto" w:fill="D9F3F2"/>
            <w:noWrap/>
            <w:vAlign w:val="center"/>
          </w:tcPr>
          <w:p>
            <w:pPr>
              <w:spacing w:line="240" w:lineRule="auto"/>
              <w:jc w:val="center"/>
              <w:rPr>
                <w:rFonts w:hint="eastAsia"/>
                <w:color w:val="000000"/>
                <w:sz w:val="20"/>
              </w:rPr>
            </w:pPr>
            <w:r>
              <w:rPr>
                <w:rFonts w:hint="eastAsia"/>
                <w:color w:val="000000"/>
                <w:sz w:val="20"/>
              </w:rPr>
              <w:t>1.7</w:t>
            </w:r>
          </w:p>
        </w:tc>
      </w:tr>
    </w:tbl>
    <w:p>
      <w:pPr>
        <w:pStyle w:val="165"/>
        <w:spacing w:line="360" w:lineRule="auto"/>
        <w:rPr>
          <w:sz w:val="20"/>
        </w:rPr>
      </w:pPr>
      <w:r>
        <w:rPr>
          <w:rFonts w:hint="eastAsia" w:cs="宋体"/>
          <w:color w:val="000000"/>
        </w:rPr>
        <w:t>数据来源：天津市高校毕业生就业管理系统</w:t>
      </w:r>
      <w:r>
        <w:rPr>
          <w:rFonts w:cs="宋体"/>
          <w:color w:val="000000"/>
          <w:szCs w:val="60"/>
        </w:rPr>
        <w:t>。</w:t>
      </w:r>
    </w:p>
    <w:p>
      <w:pPr>
        <w:rPr>
          <w:rFonts w:cs="宋体"/>
          <w:color w:val="000000"/>
          <w:sz w:val="18"/>
          <w:szCs w:val="60"/>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szCs w:val="60"/>
        </w:rPr>
      </w:pPr>
      <w:bookmarkStart w:id="10" w:name="_Toc153811508"/>
      <w:r>
        <w:rPr>
          <w:rFonts w:cs="宋体"/>
          <w:color w:val="006699"/>
          <w:szCs w:val="60"/>
        </w:rPr>
        <w:drawing>
          <wp:anchor distT="0" distB="0" distL="114300" distR="114300" simplePos="0" relativeHeight="251667456" behindDoc="1" locked="0" layoutInCell="1" allowOverlap="1">
            <wp:simplePos x="0" y="0"/>
            <wp:positionH relativeFrom="column">
              <wp:posOffset>863600</wp:posOffset>
            </wp:positionH>
            <wp:positionV relativeFrom="paragraph">
              <wp:posOffset>36195</wp:posOffset>
            </wp:positionV>
            <wp:extent cx="471805" cy="334645"/>
            <wp:effectExtent l="0" t="0" r="0" b="0"/>
            <wp:wrapNone/>
            <wp:docPr id="14595139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13951" name="图片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szCs w:val="60"/>
        </w:rPr>
        <w:t>毕业生去向落实情况</w:t>
      </w:r>
      <w:bookmarkEnd w:id="10"/>
    </w:p>
    <w:p>
      <w:pPr>
        <w:pStyle w:val="164"/>
        <w:spacing w:line="360" w:lineRule="auto"/>
        <w:ind w:firstLine="420"/>
        <w:jc w:val="both"/>
        <w:rPr>
          <w:rFonts w:cs="宋体"/>
          <w:color w:val="000000"/>
          <w:szCs w:val="60"/>
          <w:lang w:val="en-US" w:eastAsia="zh-CN" w:bidi="ar-SA"/>
        </w:rPr>
      </w:pPr>
      <w:r>
        <w:rPr>
          <w:rFonts w:cs="宋体"/>
          <w:color w:val="000000"/>
          <w:szCs w:val="60"/>
          <w:lang w:val="en-US" w:eastAsia="zh-CN" w:bidi="ar-SA"/>
        </w:rPr>
        <w:t>毕业去向落实率反映了毕业生毕业的落实情况，按照教育部公布的高校毕业生毕业去向落实率的计算公式为：</w:t>
      </w:r>
    </w:p>
    <w:p>
      <w:pPr>
        <w:pStyle w:val="164"/>
        <w:spacing w:line="360" w:lineRule="auto"/>
        <w:ind w:firstLine="420"/>
        <w:jc w:val="both"/>
        <w:rPr>
          <w:rFonts w:cs="宋体"/>
          <w:color w:val="000000"/>
          <w:szCs w:val="60"/>
          <w:lang w:val="en-US" w:eastAsia="zh-CN" w:bidi="ar-SA"/>
        </w:rPr>
      </w:pPr>
      <w:r>
        <w:rPr>
          <w:rFonts w:cs="宋体"/>
          <w:b/>
          <w:bCs/>
          <w:color w:val="000000"/>
          <w:szCs w:val="60"/>
          <w:lang w:val="en-US" w:eastAsia="zh-CN" w:bidi="ar-SA"/>
        </w:rPr>
        <w:t>毕业去向落实率</w:t>
      </w:r>
      <w:r>
        <w:rPr>
          <w:rFonts w:cs="宋体"/>
          <w:color w:val="000000"/>
          <w:szCs w:val="60"/>
          <w:lang w:val="en-US" w:eastAsia="zh-CN" w:bidi="ar-SA"/>
        </w:rPr>
        <w:t>=（已落实毕业去向毕业生人数÷毕业生总人数）×100%</w:t>
      </w:r>
    </w:p>
    <w:p>
      <w:pPr>
        <w:pStyle w:val="164"/>
        <w:spacing w:line="360" w:lineRule="auto"/>
        <w:ind w:firstLine="420"/>
        <w:jc w:val="both"/>
        <w:rPr>
          <w:rFonts w:cs="宋体"/>
          <w:color w:val="000000"/>
          <w:szCs w:val="60"/>
          <w:lang w:val="en-US" w:eastAsia="zh-CN" w:bidi="ar-SA"/>
        </w:rPr>
      </w:pPr>
      <w:r>
        <w:rPr>
          <w:rFonts w:cs="宋体"/>
          <w:b/>
          <w:bCs/>
          <w:color w:val="000000"/>
          <w:szCs w:val="60"/>
          <w:lang w:val="en-US" w:eastAsia="zh-CN" w:bidi="ar-SA"/>
        </w:rPr>
        <w:t>毕业生总人数</w:t>
      </w:r>
      <w:r>
        <w:rPr>
          <w:rFonts w:cs="宋体"/>
          <w:color w:val="000000"/>
          <w:szCs w:val="60"/>
          <w:lang w:val="en-US" w:eastAsia="zh-CN" w:bidi="ar-SA"/>
        </w:rPr>
        <w:t>=就业毕业生人数+升学毕业生人数+未就业毕业生人数</w:t>
      </w:r>
    </w:p>
    <w:p>
      <w:pPr>
        <w:pStyle w:val="164"/>
        <w:spacing w:line="360" w:lineRule="auto"/>
        <w:ind w:firstLine="420"/>
        <w:jc w:val="both"/>
        <w:rPr>
          <w:rFonts w:cs="宋体"/>
          <w:color w:val="000000"/>
          <w:szCs w:val="60"/>
          <w:lang w:val="en-US" w:eastAsia="zh-CN" w:bidi="ar-SA"/>
        </w:rPr>
      </w:pPr>
      <w:r>
        <w:rPr>
          <w:rFonts w:cs="宋体"/>
          <w:b/>
          <w:bCs/>
          <w:color w:val="000000"/>
          <w:szCs w:val="60"/>
          <w:lang w:val="en-US" w:eastAsia="zh-CN" w:bidi="ar-SA"/>
        </w:rPr>
        <w:t>已落实毕业去向毕业生包括</w:t>
      </w:r>
      <w:r>
        <w:rPr>
          <w:rFonts w:cs="宋体"/>
          <w:color w:val="000000"/>
          <w:szCs w:val="60"/>
          <w:lang w:val="en-US" w:eastAsia="zh-CN" w:bidi="ar-SA"/>
        </w:rPr>
        <w:t>：就业、升学。</w:t>
      </w:r>
    </w:p>
    <w:p>
      <w:pPr>
        <w:pStyle w:val="161"/>
        <w:widowControl/>
        <w:numPr>
          <w:ilvl w:val="4"/>
          <w:numId w:val="12"/>
        </w:numPr>
        <w:spacing w:line="320" w:lineRule="auto"/>
        <w:outlineLvl w:val="9"/>
        <w:rPr>
          <w:rFonts w:cs="宋体"/>
          <w:color w:val="006699"/>
          <w:szCs w:val="60"/>
        </w:rPr>
      </w:pPr>
      <w:r>
        <w:rPr>
          <w:rFonts w:cs="宋体"/>
          <w:color w:val="006699"/>
          <w:szCs w:val="60"/>
        </w:rPr>
        <w:t>毕业生的毕业去向落实率</w:t>
      </w:r>
    </w:p>
    <w:p>
      <w:pPr>
        <w:pStyle w:val="164"/>
        <w:keepNext/>
        <w:spacing w:line="360" w:lineRule="auto"/>
        <w:ind w:firstLine="420"/>
        <w:jc w:val="both"/>
        <w:rPr>
          <w:rFonts w:cs="宋体"/>
          <w:color w:val="000000"/>
          <w:szCs w:val="60"/>
          <w:lang w:val="en-US" w:eastAsia="zh-CN" w:bidi="ar-SA"/>
        </w:rPr>
      </w:pPr>
      <w:r>
        <w:rPr>
          <w:rFonts w:hint="eastAsia" w:cs="宋体"/>
          <w:b/>
          <w:bCs/>
          <w:color w:val="000000"/>
          <w:szCs w:val="60"/>
          <w:lang w:val="en-US" w:eastAsia="zh-CN" w:bidi="ar-SA"/>
        </w:rPr>
        <w:t>九</w:t>
      </w:r>
      <w:r>
        <w:rPr>
          <w:rFonts w:cs="宋体"/>
          <w:b/>
          <w:bCs/>
          <w:color w:val="000000"/>
          <w:szCs w:val="60"/>
          <w:lang w:val="en-US" w:eastAsia="zh-CN" w:bidi="ar-SA"/>
        </w:rPr>
        <w:t>成毕业生落实去向。</w:t>
      </w:r>
      <w:bookmarkStart w:id="11" w:name="_Hlk155715323"/>
      <w:r>
        <w:rPr>
          <w:rFonts w:cs="宋体"/>
          <w:color w:val="000000"/>
          <w:szCs w:val="60"/>
          <w:lang w:val="en-US" w:eastAsia="zh-CN" w:bidi="ar-SA"/>
        </w:rPr>
        <w:t>截至2023年9月1日，我校2023届</w:t>
      </w:r>
      <w:r>
        <w:rPr>
          <w:rFonts w:hint="eastAsia" w:cs="宋体"/>
          <w:color w:val="000000"/>
          <w:szCs w:val="60"/>
          <w:lang w:val="en-US" w:eastAsia="zh-CN" w:bidi="ar-SA"/>
        </w:rPr>
        <w:t>本科</w:t>
      </w:r>
      <w:r>
        <w:rPr>
          <w:rFonts w:cs="宋体"/>
          <w:color w:val="000000"/>
          <w:szCs w:val="60"/>
          <w:lang w:val="en-US" w:eastAsia="zh-CN" w:bidi="ar-SA"/>
        </w:rPr>
        <w:t>毕业生的毕业去向落实率为86.59%</w:t>
      </w:r>
      <w:bookmarkEnd w:id="11"/>
      <w:r>
        <w:rPr>
          <w:rFonts w:hint="eastAsia" w:cs="宋体"/>
          <w:color w:val="000000"/>
          <w:szCs w:val="60"/>
          <w:lang w:val="en-US" w:eastAsia="zh-CN" w:bidi="ar-SA"/>
        </w:rPr>
        <w:t>。</w:t>
      </w:r>
      <w:r>
        <w:rPr>
          <w:rFonts w:cs="宋体"/>
          <w:color w:val="000000"/>
          <w:szCs w:val="60"/>
          <w:lang w:val="en-US" w:eastAsia="zh-CN" w:bidi="ar-SA"/>
        </w:rPr>
        <w:t>绝大多数毕业生顺利落实具体去向。</w:t>
      </w:r>
      <w:r>
        <w:rPr>
          <w:rFonts w:hint="eastAsia" w:cs="宋体"/>
          <w:color w:val="000000"/>
          <w:szCs w:val="60"/>
          <w:lang w:val="en-US" w:eastAsia="zh-CN" w:bidi="ar-SA"/>
        </w:rPr>
        <w:t>（</w:t>
      </w:r>
      <w:r>
        <w:rPr>
          <w:rFonts w:cs="宋体"/>
          <w:color w:val="000000"/>
          <w:szCs w:val="60"/>
          <w:lang w:val="en-US" w:eastAsia="zh-CN" w:bidi="ar-SA"/>
        </w:rPr>
        <w:t>截至2023年12月</w:t>
      </w:r>
      <w:r>
        <w:rPr>
          <w:rFonts w:hint="eastAsia" w:cs="宋体"/>
          <w:color w:val="000000"/>
          <w:szCs w:val="60"/>
          <w:lang w:val="en-US" w:bidi="ar-SA"/>
        </w:rPr>
        <w:t>3</w:t>
      </w:r>
      <w:r>
        <w:rPr>
          <w:rFonts w:cs="宋体"/>
          <w:color w:val="000000"/>
          <w:szCs w:val="60"/>
          <w:lang w:val="en-US" w:eastAsia="zh-CN" w:bidi="ar-SA"/>
        </w:rPr>
        <w:t>1日，我校2023届</w:t>
      </w:r>
      <w:r>
        <w:rPr>
          <w:rFonts w:hint="eastAsia" w:cs="宋体"/>
          <w:color w:val="000000"/>
          <w:szCs w:val="60"/>
          <w:lang w:val="en-US" w:eastAsia="zh-CN" w:bidi="ar-SA"/>
        </w:rPr>
        <w:t>本科</w:t>
      </w:r>
      <w:r>
        <w:rPr>
          <w:rFonts w:cs="宋体"/>
          <w:color w:val="000000"/>
          <w:szCs w:val="60"/>
          <w:lang w:val="en-US" w:eastAsia="zh-CN" w:bidi="ar-SA"/>
        </w:rPr>
        <w:t>毕业生的毕业去向落实率为93.85%</w:t>
      </w:r>
      <w:r>
        <w:rPr>
          <w:rFonts w:hint="eastAsia" w:cs="宋体"/>
          <w:color w:val="000000"/>
          <w:szCs w:val="60"/>
          <w:lang w:val="en-US" w:eastAsia="zh-CN" w:bidi="ar-SA"/>
        </w:rPr>
        <w:t>。）</w:t>
      </w:r>
    </w:p>
    <w:p>
      <w:pPr>
        <w:jc w:val="center"/>
        <w:rPr>
          <w:rFonts w:cs="宋体"/>
          <w:color w:val="000000"/>
          <w:szCs w:val="60"/>
        </w:rPr>
      </w:pPr>
      <w:r>
        <w:drawing>
          <wp:inline distT="0" distB="0" distL="0" distR="0">
            <wp:extent cx="5219700" cy="2514600"/>
            <wp:effectExtent l="0" t="0" r="0" b="0"/>
            <wp:docPr id="1188535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3588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szCs w:val="60"/>
        </w:rPr>
      </w:pPr>
      <w:bookmarkStart w:id="12" w:name="_Toc153811551"/>
      <w:r>
        <w:rPr>
          <w:rFonts w:hint="eastAsia" w:cs="宋体"/>
          <w:color w:val="000000"/>
          <w:szCs w:val="60"/>
          <w:lang w:val="en-US" w:eastAsia="zh-CN"/>
        </w:rPr>
        <w:t>2023年9月1日</w:t>
      </w:r>
      <w:r>
        <w:rPr>
          <w:rFonts w:cs="宋体"/>
          <w:color w:val="000000"/>
          <w:szCs w:val="60"/>
        </w:rPr>
        <w:t>毕业生的毕业去向落实率</w:t>
      </w:r>
      <w:bookmarkEnd w:id="12"/>
    </w:p>
    <w:p>
      <w:pPr>
        <w:pStyle w:val="165"/>
        <w:spacing w:line="360" w:lineRule="auto"/>
        <w:rPr>
          <w:rFonts w:cs="宋体"/>
          <w:color w:val="000000"/>
          <w:szCs w:val="60"/>
        </w:rPr>
      </w:pPr>
      <w:r>
        <w:rPr>
          <w:rFonts w:hint="eastAsia" w:cs="宋体"/>
          <w:color w:val="000000"/>
        </w:rPr>
        <w:t>数据来源：天津市高校毕业生就业管理系统</w:t>
      </w:r>
      <w:r>
        <w:rPr>
          <w:rFonts w:cs="宋体"/>
          <w:color w:val="000000"/>
          <w:szCs w:val="60"/>
        </w:rPr>
        <w:t>。</w:t>
      </w:r>
    </w:p>
    <w:p>
      <w:pPr>
        <w:rPr>
          <w:rFonts w:cs="宋体"/>
          <w:color w:val="000000"/>
          <w:sz w:val="18"/>
          <w:szCs w:val="60"/>
        </w:rPr>
      </w:pPr>
    </w:p>
    <w:p>
      <w:pPr>
        <w:rPr>
          <w:rFonts w:cs="宋体"/>
          <w:color w:val="000000"/>
          <w:sz w:val="18"/>
          <w:szCs w:val="60"/>
        </w:rPr>
      </w:pP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rPr>
      </w:pPr>
      <w:bookmarkStart w:id="13" w:name="_Toc153811509"/>
      <w:r>
        <w:rPr>
          <w:rFonts w:cs="宋体"/>
          <w:color w:val="006699"/>
        </w:rPr>
        <w:drawing>
          <wp:anchor distT="0" distB="0" distL="114300" distR="114300" simplePos="0" relativeHeight="251668480" behindDoc="1" locked="0" layoutInCell="1" allowOverlap="1">
            <wp:simplePos x="0" y="0"/>
            <wp:positionH relativeFrom="column">
              <wp:posOffset>1383665</wp:posOffset>
            </wp:positionH>
            <wp:positionV relativeFrom="paragraph">
              <wp:posOffset>36195</wp:posOffset>
            </wp:positionV>
            <wp:extent cx="471805" cy="334645"/>
            <wp:effectExtent l="0" t="0" r="0" b="0"/>
            <wp:wrapNone/>
            <wp:docPr id="5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就业流向</w:t>
      </w:r>
      <w:bookmarkEnd w:id="13"/>
    </w:p>
    <w:p>
      <w:pPr>
        <w:ind w:firstLine="420"/>
        <w:rPr>
          <w:lang w:val="en-US" w:bidi="ar-SA"/>
        </w:rPr>
      </w:pPr>
      <w:r>
        <w:rPr>
          <w:rFonts w:hint="eastAsia" w:cs="宋体"/>
          <w:color w:val="000000"/>
        </w:rPr>
        <w:t>数据来源于麦可思</w:t>
      </w:r>
      <w:r>
        <w:rPr>
          <w:rFonts w:cs="宋体"/>
          <w:color w:val="000000"/>
        </w:rPr>
        <w:t>-</w:t>
      </w:r>
      <w:r>
        <w:rPr>
          <w:rFonts w:hint="eastAsia" w:cs="宋体"/>
          <w:color w:val="000000"/>
        </w:rPr>
        <w:t>天津中医药大学</w:t>
      </w:r>
      <w:r>
        <w:rPr>
          <w:rFonts w:cs="宋体"/>
          <w:color w:val="000000"/>
        </w:rPr>
        <w:t>2023</w:t>
      </w:r>
      <w:r>
        <w:rPr>
          <w:rFonts w:hint="eastAsia" w:cs="宋体"/>
          <w:color w:val="000000"/>
        </w:rPr>
        <w:t>届本科毕业生培养质量评价数据。调查面向全校</w:t>
      </w:r>
      <w:r>
        <w:rPr>
          <w:rFonts w:cs="宋体"/>
          <w:color w:val="000000"/>
        </w:rPr>
        <w:t>2023</w:t>
      </w:r>
      <w:r>
        <w:rPr>
          <w:rFonts w:hint="eastAsia" w:cs="宋体"/>
          <w:color w:val="000000"/>
        </w:rPr>
        <w:t>届本科毕业生</w:t>
      </w:r>
      <w:r>
        <w:rPr>
          <w:rFonts w:hint="eastAsia" w:cs="宋体"/>
          <w:color w:val="000000"/>
          <w:szCs w:val="60"/>
        </w:rPr>
        <w:t>，截至</w:t>
      </w:r>
      <w:r>
        <w:rPr>
          <w:rFonts w:cs="宋体"/>
          <w:color w:val="000000"/>
          <w:szCs w:val="60"/>
        </w:rPr>
        <w:t>2023</w:t>
      </w:r>
      <w:r>
        <w:rPr>
          <w:rFonts w:hint="eastAsia" w:cs="宋体"/>
          <w:color w:val="000000"/>
          <w:szCs w:val="60"/>
        </w:rPr>
        <w:t>年</w:t>
      </w:r>
      <w:r>
        <w:rPr>
          <w:rFonts w:cs="宋体"/>
          <w:color w:val="000000"/>
          <w:szCs w:val="60"/>
        </w:rPr>
        <w:t>12</w:t>
      </w:r>
      <w:r>
        <w:rPr>
          <w:rFonts w:hint="eastAsia" w:cs="宋体"/>
          <w:color w:val="000000"/>
          <w:szCs w:val="60"/>
        </w:rPr>
        <w:t>月</w:t>
      </w:r>
      <w:r>
        <w:rPr>
          <w:rFonts w:cs="宋体"/>
          <w:color w:val="000000"/>
          <w:szCs w:val="60"/>
        </w:rPr>
        <w:t>1</w:t>
      </w:r>
      <w:r>
        <w:rPr>
          <w:rFonts w:hint="eastAsia" w:cs="宋体"/>
          <w:color w:val="000000"/>
          <w:szCs w:val="60"/>
        </w:rPr>
        <w:t>日，共回收有效问卷</w:t>
      </w:r>
      <w:r>
        <w:rPr>
          <w:rFonts w:cs="宋体"/>
          <w:color w:val="000000"/>
          <w:szCs w:val="60"/>
        </w:rPr>
        <w:t>1533</w:t>
      </w:r>
      <w:r>
        <w:rPr>
          <w:rFonts w:hint="eastAsia" w:cs="宋体"/>
          <w:color w:val="000000"/>
          <w:szCs w:val="60"/>
        </w:rPr>
        <w:t>份，回收问卷数量占毕业生总人数的</w:t>
      </w:r>
      <w:r>
        <w:rPr>
          <w:color w:val="000000"/>
          <w:szCs w:val="21"/>
        </w:rPr>
        <w:t>59.2%</w:t>
      </w:r>
      <w:r>
        <w:rPr>
          <w:rFonts w:hint="eastAsia" w:cs="宋体"/>
          <w:color w:val="000000"/>
          <w:szCs w:val="60"/>
        </w:rPr>
        <w:t>，</w:t>
      </w:r>
      <w:r>
        <w:rPr>
          <w:rFonts w:hint="eastAsia" w:cs="宋体"/>
          <w:color w:val="000000"/>
        </w:rPr>
        <w:t>由于调研口径、调研参与率等因素，与学校初次毕业去向落实率截点的统计有一定的差异</w:t>
      </w:r>
      <w:r>
        <w:rPr>
          <w:rFonts w:hint="eastAsia"/>
          <w:lang w:val="en-US" w:eastAsia="zh-CN" w:bidi="ar-SA"/>
        </w:rPr>
        <w:t>。其中，中医学院的</w:t>
      </w:r>
      <w:r>
        <w:rPr>
          <w:rFonts w:hint="eastAsia"/>
          <w:color w:val="000000"/>
        </w:rPr>
        <w:t>中医学（五年制）、中医学（长学制）专业合并展示为中医学专业</w:t>
      </w:r>
      <w:r>
        <w:rPr>
          <w:rFonts w:hint="eastAsia"/>
          <w:lang w:val="en-US" w:bidi="ar-SA"/>
        </w:rPr>
        <w:t>。</w:t>
      </w:r>
    </w:p>
    <w:p>
      <w:pPr>
        <w:pStyle w:val="160"/>
        <w:numPr>
          <w:ilvl w:val="3"/>
          <w:numId w:val="12"/>
        </w:numPr>
        <w:spacing w:before="120" w:after="120"/>
        <w:rPr>
          <w:rFonts w:cs="宋体"/>
          <w:color w:val="006699"/>
        </w:rPr>
      </w:pPr>
      <w:bookmarkStart w:id="14" w:name="_Toc153811510"/>
      <w:r>
        <w:rPr>
          <w:rFonts w:cs="宋体"/>
          <w:color w:val="006699"/>
        </w:rPr>
        <w:t>行业流向</w:t>
      </w:r>
      <w:bookmarkEnd w:id="14"/>
    </w:p>
    <w:p>
      <w:pPr>
        <w:pStyle w:val="161"/>
        <w:numPr>
          <w:ilvl w:val="4"/>
          <w:numId w:val="12"/>
        </w:numPr>
        <w:spacing w:line="320" w:lineRule="auto"/>
        <w:outlineLvl w:val="9"/>
        <w:rPr>
          <w:rFonts w:cs="宋体"/>
          <w:color w:val="006699"/>
        </w:rPr>
      </w:pPr>
      <w:r>
        <w:rPr>
          <w:rFonts w:cs="宋体"/>
          <w:color w:val="006699"/>
        </w:rPr>
        <w:t>总体行业流向</w:t>
      </w:r>
    </w:p>
    <w:p>
      <w:pPr>
        <w:pStyle w:val="164"/>
        <w:spacing w:line="360" w:lineRule="auto"/>
        <w:ind w:firstLine="420"/>
        <w:jc w:val="both"/>
        <w:rPr>
          <w:rFonts w:cs="宋体"/>
          <w:color w:val="000000"/>
          <w:lang w:val="en-US" w:eastAsia="zh-CN" w:bidi="ar-SA"/>
        </w:rPr>
      </w:pPr>
      <w:r>
        <w:rPr>
          <w:rFonts w:cs="宋体"/>
          <w:b/>
          <w:bCs/>
          <w:color w:val="000000"/>
          <w:lang w:val="en-US" w:eastAsia="zh-CN" w:bidi="ar-SA"/>
        </w:rPr>
        <w:t>毕业生就业行业特色凸显，以</w:t>
      </w:r>
      <w:r>
        <w:rPr>
          <w:rFonts w:hint="eastAsia" w:cs="宋体"/>
          <w:b/>
          <w:bCs/>
          <w:color w:val="000000"/>
          <w:lang w:val="en-US" w:eastAsia="zh-CN" w:bidi="ar-SA"/>
        </w:rPr>
        <w:t>医疗卫生及医药制造领域</w:t>
      </w:r>
      <w:r>
        <w:rPr>
          <w:rFonts w:cs="宋体"/>
          <w:b/>
          <w:bCs/>
          <w:color w:val="000000"/>
          <w:lang w:val="en-US" w:eastAsia="zh-CN" w:bidi="ar-SA"/>
        </w:rPr>
        <w:t>为主。</w:t>
      </w:r>
      <w:r>
        <w:rPr>
          <w:rFonts w:cs="宋体"/>
          <w:color w:val="000000"/>
          <w:lang w:val="en-US" w:eastAsia="zh-CN" w:bidi="ar-SA"/>
        </w:rPr>
        <w:t>2023届</w:t>
      </w:r>
      <w:r>
        <w:rPr>
          <w:rFonts w:hint="eastAsia" w:cs="宋体"/>
          <w:color w:val="000000"/>
          <w:lang w:val="en-US" w:eastAsia="zh-CN" w:bidi="ar-SA"/>
        </w:rPr>
        <w:t>本科</w:t>
      </w:r>
      <w:r>
        <w:rPr>
          <w:rFonts w:cs="宋体"/>
          <w:color w:val="000000"/>
          <w:lang w:val="en-US" w:eastAsia="zh-CN" w:bidi="ar-SA"/>
        </w:rPr>
        <w:t>毕业生就业行业以医疗和社会护理服务业（46.4%）</w:t>
      </w:r>
      <w:r>
        <w:rPr>
          <w:rFonts w:hint="eastAsia" w:cs="宋体"/>
          <w:color w:val="000000"/>
          <w:lang w:val="en-US" w:eastAsia="zh-CN" w:bidi="ar-SA"/>
        </w:rPr>
        <w:t>、医药及设备制造业（25.9%）</w:t>
      </w:r>
      <w:r>
        <w:rPr>
          <w:rFonts w:cs="宋体"/>
          <w:color w:val="000000"/>
          <w:lang w:val="en-US" w:eastAsia="zh-CN" w:bidi="ar-SA"/>
        </w:rPr>
        <w:t>为主，</w:t>
      </w:r>
      <w:r>
        <w:rPr>
          <w:rFonts w:hint="eastAsia" w:cs="宋体"/>
          <w:color w:val="000000"/>
          <w:lang w:val="en-US" w:eastAsia="zh-CN" w:bidi="ar-SA"/>
        </w:rPr>
        <w:t>还有部分毕业生就业于</w:t>
      </w:r>
      <w:r>
        <w:rPr>
          <w:rFonts w:cs="宋体"/>
          <w:color w:val="000000"/>
          <w:lang w:val="en-US" w:eastAsia="zh-CN" w:bidi="ar-SA"/>
        </w:rPr>
        <w:t>教育业（7.0%）、文化</w:t>
      </w:r>
      <w:r>
        <w:rPr>
          <w:rFonts w:hint="eastAsia" w:cs="宋体"/>
          <w:color w:val="000000"/>
          <w:lang w:val="en-US" w:bidi="ar-SA"/>
        </w:rPr>
        <w:t>/</w:t>
      </w:r>
      <w:r>
        <w:rPr>
          <w:rFonts w:cs="宋体"/>
          <w:color w:val="000000"/>
          <w:lang w:val="en-US" w:eastAsia="zh-CN" w:bidi="ar-SA"/>
        </w:rPr>
        <w:t>体育和娱乐业（3.5%）等</w:t>
      </w:r>
      <w:r>
        <w:rPr>
          <w:rFonts w:hint="eastAsia" w:cs="宋体"/>
          <w:color w:val="000000"/>
          <w:lang w:val="en-US" w:eastAsia="zh-CN" w:bidi="ar-SA"/>
        </w:rPr>
        <w:t>领域</w:t>
      </w:r>
      <w:r>
        <w:rPr>
          <w:rFonts w:cs="宋体"/>
          <w:color w:val="000000"/>
          <w:lang w:val="en-US" w:eastAsia="zh-CN" w:bidi="ar-SA"/>
        </w:rPr>
        <w:t>。</w:t>
      </w:r>
    </w:p>
    <w:p>
      <w:pPr>
        <w:jc w:val="center"/>
        <w:rPr>
          <w:rFonts w:cs="宋体"/>
          <w:color w:val="000000"/>
          <w:lang w:val="en-US" w:eastAsia="zh-CN" w:bidi="ar-SA"/>
        </w:rPr>
      </w:pPr>
      <w:r>
        <w:drawing>
          <wp:inline distT="0" distB="0" distL="0" distR="0">
            <wp:extent cx="4914900" cy="3367405"/>
            <wp:effectExtent l="0" t="0" r="0" b="0"/>
            <wp:docPr id="5" name="图片 48"/>
            <wp:cNvGraphicFramePr/>
            <a:graphic xmlns:a="http://schemas.openxmlformats.org/drawingml/2006/main">
              <a:graphicData uri="http://schemas.openxmlformats.org/drawingml/2006/picture">
                <pic:pic xmlns:pic="http://schemas.openxmlformats.org/drawingml/2006/picture">
                  <pic:nvPicPr>
                    <pic:cNvPr id="5" name="图片 4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14900" cy="336740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15" w:name="_Toc153811554"/>
      <w:r>
        <w:rPr>
          <w:rFonts w:cs="宋体"/>
          <w:color w:val="000000"/>
        </w:rPr>
        <w:t>毕业生就业的主要行业类</w:t>
      </w:r>
      <w:bookmarkEnd w:id="15"/>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sz w:val="18"/>
        </w:rPr>
      </w:pPr>
    </w:p>
    <w:p>
      <w:pPr>
        <w:pStyle w:val="161"/>
        <w:numPr>
          <w:ilvl w:val="4"/>
          <w:numId w:val="12"/>
        </w:numPr>
        <w:spacing w:line="320" w:lineRule="auto"/>
        <w:outlineLvl w:val="9"/>
        <w:rPr>
          <w:rFonts w:cs="宋体"/>
          <w:color w:val="006699"/>
        </w:rPr>
        <w:sectPr>
          <w:footnotePr>
            <w:numRestart w:val="eachPage"/>
          </w:footnotePr>
          <w:pgSz w:w="11906" w:h="16838"/>
          <w:pgMar w:top="1984" w:right="1531" w:bottom="1701" w:left="1701" w:header="992" w:footer="850" w:gutter="0"/>
          <w:cols w:space="708" w:num="1"/>
          <w:docGrid w:linePitch="360" w:charSpace="0"/>
        </w:sectPr>
      </w:pPr>
    </w:p>
    <w:p>
      <w:pPr>
        <w:pStyle w:val="161"/>
        <w:numPr>
          <w:ilvl w:val="4"/>
          <w:numId w:val="12"/>
        </w:numPr>
        <w:spacing w:line="320" w:lineRule="auto"/>
        <w:outlineLvl w:val="9"/>
        <w:rPr>
          <w:rFonts w:cs="宋体"/>
          <w:color w:val="006699"/>
        </w:rPr>
      </w:pPr>
      <w:r>
        <w:rPr>
          <w:rFonts w:cs="宋体"/>
          <w:color w:val="006699"/>
        </w:rPr>
        <w:t>各专业的行业特点</w:t>
      </w:r>
    </w:p>
    <w:p>
      <w:pPr>
        <w:pStyle w:val="164"/>
        <w:keepNext/>
        <w:spacing w:line="360" w:lineRule="auto"/>
        <w:ind w:firstLine="420"/>
        <w:jc w:val="both"/>
        <w:rPr>
          <w:rFonts w:hint="eastAsia" w:cs="宋体"/>
          <w:color w:val="000000"/>
          <w:lang w:val="en-US" w:eastAsia="zh-CN" w:bidi="ar-SA"/>
        </w:rPr>
      </w:pP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毕业生的</w:t>
      </w:r>
      <w:r>
        <w:rPr>
          <w:rFonts w:hint="eastAsia" w:cs="宋体"/>
          <w:color w:val="000000"/>
          <w:lang w:val="en-US" w:eastAsia="zh-CN" w:bidi="ar-SA"/>
        </w:rPr>
        <w:t>行业</w:t>
      </w:r>
      <w:r>
        <w:rPr>
          <w:rFonts w:cs="宋体"/>
          <w:color w:val="000000"/>
          <w:lang w:val="en-US" w:eastAsia="zh-CN" w:bidi="ar-SA"/>
        </w:rPr>
        <w:t>流向和各专业培养情况基本吻合，</w:t>
      </w:r>
      <w:r>
        <w:rPr>
          <w:rFonts w:hint="eastAsia" w:cs="宋体"/>
          <w:color w:val="000000"/>
          <w:lang w:val="en-US" w:eastAsia="zh-CN" w:bidi="ar-SA"/>
        </w:rPr>
        <w:t>如：康复治疗学</w:t>
      </w:r>
      <w:r>
        <w:rPr>
          <w:rFonts w:cs="宋体"/>
          <w:color w:val="000000"/>
          <w:lang w:val="en-US" w:eastAsia="zh-CN" w:bidi="ar-SA"/>
        </w:rPr>
        <w:t>专业毕业生主要</w:t>
      </w:r>
      <w:r>
        <w:rPr>
          <w:rFonts w:hint="eastAsia" w:cs="宋体"/>
          <w:color w:val="000000"/>
          <w:lang w:val="en-US" w:eastAsia="zh-CN" w:bidi="ar-SA"/>
        </w:rPr>
        <w:t>就业于综合医院，中药学专业</w:t>
      </w:r>
      <w:r>
        <w:rPr>
          <w:rFonts w:cs="宋体"/>
          <w:color w:val="000000"/>
          <w:lang w:val="en-US" w:eastAsia="zh-CN" w:bidi="ar-SA"/>
        </w:rPr>
        <w:t>毕业生</w:t>
      </w:r>
      <w:r>
        <w:rPr>
          <w:rFonts w:hint="eastAsia" w:cs="宋体"/>
          <w:color w:val="000000"/>
          <w:lang w:val="en-US" w:eastAsia="zh-CN" w:bidi="ar-SA"/>
        </w:rPr>
        <w:t>主要就业于药品和医药制造业</w:t>
      </w:r>
      <w:r>
        <w:rPr>
          <w:rFonts w:cs="宋体"/>
          <w:color w:val="000000"/>
          <w:lang w:val="en-US" w:eastAsia="zh-CN" w:bidi="ar-SA"/>
        </w:rPr>
        <w:t>。</w:t>
      </w:r>
    </w:p>
    <w:p>
      <w:pPr>
        <w:pStyle w:val="163"/>
        <w:numPr>
          <w:ilvl w:val="8"/>
          <w:numId w:val="13"/>
        </w:numPr>
        <w:spacing w:before="80" w:line="360" w:lineRule="auto"/>
        <w:rPr>
          <w:rFonts w:cs="宋体"/>
          <w:color w:val="000000"/>
        </w:rPr>
      </w:pPr>
      <w:bookmarkStart w:id="16" w:name="_Toc153811555"/>
      <w:r>
        <w:rPr>
          <w:rFonts w:cs="宋体"/>
          <w:color w:val="000000"/>
        </w:rPr>
        <w:t>各专业毕业生实际就业的主要行业</w:t>
      </w:r>
      <w:bookmarkEnd w:id="16"/>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4445"/>
        <w:gridCol w:w="4445"/>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PrEx>
        <w:trPr>
          <w:tblHeader/>
        </w:trPr>
        <w:tc>
          <w:tcPr>
            <w:tcW w:w="2500" w:type="pct"/>
            <w:tcBorders>
              <w:bottom w:val="single" w:color="9FDFFF" w:sz="8" w:space="0"/>
            </w:tcBorders>
            <w:shd w:val="clear" w:color="auto" w:fill="006699"/>
            <w:vAlign w:val="center"/>
          </w:tcPr>
          <w:p>
            <w:pPr>
              <w:spacing w:line="240" w:lineRule="auto"/>
              <w:jc w:val="center"/>
              <w:rPr>
                <w:b/>
                <w:color w:val="FFFFFF"/>
                <w:sz w:val="20"/>
              </w:rPr>
            </w:pPr>
            <w:r>
              <w:rPr>
                <w:b/>
                <w:color w:val="FFFFFF"/>
                <w:sz w:val="20"/>
              </w:rPr>
              <w:t>专业名称</w:t>
            </w:r>
          </w:p>
        </w:tc>
        <w:tc>
          <w:tcPr>
            <w:tcW w:w="2500" w:type="pct"/>
            <w:tcBorders>
              <w:bottom w:val="single" w:color="9FDFFF" w:sz="8" w:space="0"/>
            </w:tcBorders>
            <w:shd w:val="clear" w:color="auto" w:fill="23A5C3"/>
            <w:vAlign w:val="center"/>
          </w:tcPr>
          <w:p>
            <w:pPr>
              <w:spacing w:line="240" w:lineRule="auto"/>
              <w:jc w:val="center"/>
              <w:rPr>
                <w:b/>
                <w:color w:val="FFFFFF"/>
                <w:sz w:val="20"/>
              </w:rPr>
            </w:pPr>
            <w:r>
              <w:rPr>
                <w:b/>
                <w:color w:val="FFFFFF"/>
                <w:sz w:val="20"/>
              </w:rPr>
              <w:t>本校该专业毕业生就业的主要行业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护理学</w:t>
            </w:r>
          </w:p>
        </w:tc>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综合医院</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DAF1FE"/>
            <w:vAlign w:val="center"/>
          </w:tcPr>
          <w:p>
            <w:pPr>
              <w:spacing w:line="240" w:lineRule="auto"/>
              <w:jc w:val="left"/>
              <w:rPr>
                <w:color w:val="000000"/>
                <w:sz w:val="20"/>
                <w:szCs w:val="20"/>
              </w:rPr>
            </w:pPr>
            <w:r>
              <w:rPr>
                <w:rFonts w:hint="eastAsia"/>
                <w:color w:val="000000"/>
                <w:sz w:val="20"/>
                <w:szCs w:val="20"/>
              </w:rPr>
              <w:t>中医学</w:t>
            </w:r>
          </w:p>
        </w:tc>
        <w:tc>
          <w:tcPr>
            <w:tcW w:w="2500" w:type="pct"/>
            <w:tcBorders>
              <w:bottom w:val="single" w:color="9FDFFF" w:sz="8" w:space="0"/>
            </w:tcBorders>
            <w:shd w:val="clear" w:color="auto" w:fill="E5F7FB"/>
            <w:vAlign w:val="center"/>
          </w:tcPr>
          <w:p>
            <w:pPr>
              <w:spacing w:line="240" w:lineRule="auto"/>
              <w:jc w:val="left"/>
              <w:rPr>
                <w:color w:val="000000"/>
                <w:sz w:val="20"/>
                <w:szCs w:val="20"/>
              </w:rPr>
            </w:pPr>
            <w:r>
              <w:rPr>
                <w:rFonts w:hint="eastAsia"/>
                <w:color w:val="000000"/>
                <w:sz w:val="20"/>
                <w:szCs w:val="20"/>
              </w:rPr>
              <w:t>中医医院</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市场营销</w:t>
            </w:r>
          </w:p>
        </w:tc>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DAF1FE"/>
            <w:vAlign w:val="center"/>
          </w:tcPr>
          <w:p>
            <w:pPr>
              <w:spacing w:line="240" w:lineRule="auto"/>
              <w:jc w:val="left"/>
              <w:rPr>
                <w:color w:val="000000"/>
                <w:sz w:val="20"/>
                <w:szCs w:val="20"/>
              </w:rPr>
            </w:pPr>
            <w:r>
              <w:rPr>
                <w:rFonts w:hint="eastAsia"/>
                <w:color w:val="000000"/>
                <w:sz w:val="20"/>
                <w:szCs w:val="20"/>
              </w:rPr>
              <w:t>康复治疗学</w:t>
            </w:r>
          </w:p>
        </w:tc>
        <w:tc>
          <w:tcPr>
            <w:tcW w:w="2500" w:type="pct"/>
            <w:tcBorders>
              <w:bottom w:val="single" w:color="9FDFFF" w:sz="8" w:space="0"/>
            </w:tcBorders>
            <w:shd w:val="clear" w:color="auto" w:fill="E5F7FB"/>
            <w:vAlign w:val="center"/>
          </w:tcPr>
          <w:p>
            <w:pPr>
              <w:spacing w:line="240" w:lineRule="auto"/>
              <w:jc w:val="left"/>
              <w:rPr>
                <w:color w:val="000000"/>
                <w:sz w:val="20"/>
                <w:szCs w:val="20"/>
              </w:rPr>
            </w:pPr>
            <w:r>
              <w:rPr>
                <w:rFonts w:hint="eastAsia"/>
                <w:color w:val="000000"/>
                <w:sz w:val="20"/>
                <w:szCs w:val="20"/>
              </w:rPr>
              <w:t>综合医院</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制药工程</w:t>
            </w:r>
          </w:p>
        </w:tc>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DAF1FE"/>
            <w:vAlign w:val="center"/>
          </w:tcPr>
          <w:p>
            <w:pPr>
              <w:spacing w:line="240" w:lineRule="auto"/>
              <w:jc w:val="left"/>
              <w:rPr>
                <w:color w:val="000000"/>
                <w:sz w:val="20"/>
                <w:szCs w:val="20"/>
              </w:rPr>
            </w:pPr>
            <w:r>
              <w:rPr>
                <w:rFonts w:hint="eastAsia"/>
                <w:color w:val="000000"/>
                <w:sz w:val="20"/>
                <w:szCs w:val="20"/>
              </w:rPr>
              <w:t>中药学</w:t>
            </w:r>
          </w:p>
        </w:tc>
        <w:tc>
          <w:tcPr>
            <w:tcW w:w="2500" w:type="pct"/>
            <w:tcBorders>
              <w:bottom w:val="single" w:color="9FDFFF" w:sz="8" w:space="0"/>
            </w:tcBorders>
            <w:shd w:val="clear" w:color="auto" w:fill="E5F7FB"/>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中药制药</w:t>
            </w:r>
          </w:p>
        </w:tc>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DAF1FE"/>
            <w:vAlign w:val="center"/>
          </w:tcPr>
          <w:p>
            <w:pPr>
              <w:spacing w:line="240" w:lineRule="auto"/>
              <w:jc w:val="left"/>
              <w:rPr>
                <w:color w:val="000000"/>
                <w:sz w:val="20"/>
                <w:szCs w:val="20"/>
              </w:rPr>
            </w:pPr>
            <w:r>
              <w:rPr>
                <w:rFonts w:hint="eastAsia"/>
                <w:color w:val="000000"/>
                <w:sz w:val="20"/>
                <w:szCs w:val="20"/>
              </w:rPr>
              <w:t>临床药学（五年制）</w:t>
            </w:r>
          </w:p>
        </w:tc>
        <w:tc>
          <w:tcPr>
            <w:tcW w:w="2500" w:type="pct"/>
            <w:tcBorders>
              <w:bottom w:val="single" w:color="9FDFFF" w:sz="8" w:space="0"/>
            </w:tcBorders>
            <w:shd w:val="clear" w:color="auto" w:fill="E5F7FB"/>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药学</w:t>
            </w:r>
          </w:p>
        </w:tc>
        <w:tc>
          <w:tcPr>
            <w:tcW w:w="2500" w:type="pct"/>
            <w:tcBorders>
              <w:bottom w:val="single" w:color="9FDFFF" w:sz="8" w:space="0"/>
            </w:tcBorders>
            <w:shd w:val="clear" w:color="auto" w:fill="FFFFFF"/>
            <w:vAlign w:val="center"/>
          </w:tcPr>
          <w:p>
            <w:pPr>
              <w:spacing w:line="240" w:lineRule="auto"/>
              <w:jc w:val="left"/>
              <w:rPr>
                <w:color w:val="000000"/>
                <w:sz w:val="20"/>
                <w:szCs w:val="20"/>
              </w:rPr>
            </w:pPr>
            <w:r>
              <w:rPr>
                <w:rFonts w:hint="eastAsia"/>
                <w:color w:val="000000"/>
                <w:sz w:val="20"/>
                <w:szCs w:val="20"/>
              </w:rPr>
              <w:t>药品和医药制造业</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c>
          <w:tcPr>
            <w:tcW w:w="2500" w:type="pct"/>
            <w:shd w:val="clear" w:color="auto" w:fill="DAF1FE"/>
            <w:vAlign w:val="center"/>
          </w:tcPr>
          <w:p>
            <w:pPr>
              <w:spacing w:line="240" w:lineRule="auto"/>
              <w:jc w:val="left"/>
              <w:rPr>
                <w:color w:val="000000"/>
                <w:sz w:val="20"/>
                <w:szCs w:val="20"/>
              </w:rPr>
            </w:pPr>
            <w:r>
              <w:rPr>
                <w:rFonts w:hint="eastAsia"/>
                <w:color w:val="000000"/>
                <w:sz w:val="20"/>
                <w:szCs w:val="20"/>
              </w:rPr>
              <w:t>药物制剂</w:t>
            </w:r>
          </w:p>
        </w:tc>
        <w:tc>
          <w:tcPr>
            <w:tcW w:w="2500" w:type="pct"/>
            <w:shd w:val="clear" w:color="auto" w:fill="E5F7FB"/>
            <w:vAlign w:val="center"/>
          </w:tcPr>
          <w:p>
            <w:pPr>
              <w:spacing w:line="240" w:lineRule="auto"/>
              <w:jc w:val="left"/>
              <w:rPr>
                <w:color w:val="000000"/>
                <w:sz w:val="20"/>
                <w:szCs w:val="20"/>
              </w:rPr>
            </w:pPr>
            <w:r>
              <w:rPr>
                <w:rFonts w:hint="eastAsia"/>
                <w:color w:val="000000"/>
                <w:sz w:val="20"/>
                <w:szCs w:val="20"/>
              </w:rPr>
              <w:t>药品和医药制造业</w:t>
            </w:r>
          </w:p>
        </w:tc>
      </w:tr>
    </w:tbl>
    <w:p>
      <w:pPr>
        <w:pStyle w:val="165"/>
        <w:keepNext/>
        <w:spacing w:line="360" w:lineRule="auto"/>
        <w:rPr>
          <w:rFonts w:cs="宋体"/>
          <w:color w:val="000000"/>
        </w:rPr>
      </w:pPr>
      <w:r>
        <w:rPr>
          <w:rFonts w:cs="宋体"/>
          <w:color w:val="000000"/>
        </w:rPr>
        <w:t>注：个别专业因样本较少没有包括在内。</w:t>
      </w:r>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18"/>
        </w:rPr>
      </w:pPr>
    </w:p>
    <w:p>
      <w:pPr>
        <w:pStyle w:val="161"/>
        <w:numPr>
          <w:ilvl w:val="4"/>
          <w:numId w:val="12"/>
        </w:numPr>
        <w:spacing w:line="320" w:lineRule="auto"/>
        <w:outlineLvl w:val="9"/>
        <w:rPr>
          <w:rFonts w:cs="宋体"/>
          <w:color w:val="006699"/>
        </w:rPr>
      </w:pPr>
      <w:r>
        <w:rPr>
          <w:rFonts w:cs="宋体"/>
          <w:color w:val="006699"/>
        </w:rPr>
        <w:t>从事医学类工作人群所在医院的级别</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我校2023届从事医学类工作的</w:t>
      </w:r>
      <w:r>
        <w:rPr>
          <w:rFonts w:hint="eastAsia" w:cs="宋体"/>
          <w:color w:val="000000"/>
          <w:lang w:val="en-US" w:eastAsia="zh-CN" w:bidi="ar-SA"/>
        </w:rPr>
        <w:t>本科</w:t>
      </w:r>
      <w:r>
        <w:rPr>
          <w:rFonts w:cs="宋体"/>
          <w:color w:val="000000"/>
          <w:lang w:val="en-US" w:eastAsia="zh-CN" w:bidi="ar-SA"/>
        </w:rPr>
        <w:t>毕业生所在医院的级别主要是三级甲等</w:t>
      </w:r>
      <w:r>
        <w:rPr>
          <w:rFonts w:hint="eastAsia" w:cs="宋体"/>
          <w:color w:val="000000"/>
          <w:lang w:val="en-US" w:eastAsia="zh-CN" w:bidi="ar-SA"/>
        </w:rPr>
        <w:t>（</w:t>
      </w:r>
      <w:r>
        <w:rPr>
          <w:rFonts w:hint="eastAsia" w:cs="宋体"/>
          <w:color w:val="000000"/>
          <w:lang w:val="en-US" w:bidi="ar-SA"/>
        </w:rPr>
        <w:t>7</w:t>
      </w:r>
      <w:r>
        <w:rPr>
          <w:rFonts w:cs="宋体"/>
          <w:color w:val="000000"/>
          <w:lang w:val="en-US" w:bidi="ar-SA"/>
        </w:rPr>
        <w:t>5%</w:t>
      </w:r>
      <w:r>
        <w:rPr>
          <w:rFonts w:hint="eastAsia" w:cs="宋体"/>
          <w:color w:val="000000"/>
          <w:lang w:val="en-US" w:eastAsia="zh-CN" w:bidi="ar-SA"/>
        </w:rPr>
        <w:t>）</w:t>
      </w:r>
      <w:r>
        <w:rPr>
          <w:rFonts w:cs="宋体"/>
          <w:color w:val="000000"/>
          <w:lang w:val="en-US" w:eastAsia="zh-CN" w:bidi="ar-SA"/>
        </w:rPr>
        <w:t>。</w:t>
      </w:r>
    </w:p>
    <w:p>
      <w:pPr>
        <w:jc w:val="center"/>
        <w:rPr>
          <w:rFonts w:cs="宋体"/>
          <w:color w:val="000000"/>
        </w:rPr>
      </w:pPr>
      <w:r>
        <w:drawing>
          <wp:inline distT="0" distB="0" distL="0" distR="0">
            <wp:extent cx="5219700" cy="3238500"/>
            <wp:effectExtent l="0" t="0" r="0"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9700" cy="32385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17" w:name="_Toc153811556"/>
      <w:r>
        <w:rPr>
          <w:rFonts w:cs="宋体"/>
          <w:color w:val="000000"/>
        </w:rPr>
        <w:t>从事医学类工作人群所在医院的级别分布</w:t>
      </w:r>
      <w:bookmarkEnd w:id="17"/>
    </w:p>
    <w:p>
      <w:pPr>
        <w:pStyle w:val="165"/>
        <w:spacing w:line="360" w:lineRule="auto"/>
        <w:rPr>
          <w:rFonts w:cs="宋体"/>
          <w:color w:val="000000"/>
        </w:rPr>
        <w:sectPr>
          <w:footnotePr>
            <w:numRestart w:val="eachPage"/>
          </w:footnotePr>
          <w:pgSz w:w="11906" w:h="16838"/>
          <w:pgMar w:top="1984" w:right="1531" w:bottom="1701" w:left="1701" w:header="992" w:footer="850" w:gutter="0"/>
          <w:cols w:space="708" w:num="1"/>
          <w:docGrid w:linePitch="360" w:charSpace="0"/>
        </w:sectPr>
      </w:pPr>
      <w:r>
        <w:rPr>
          <w:rFonts w:cs="宋体"/>
          <w:color w:val="000000"/>
        </w:rPr>
        <w:t>数据来源：麦可思-天津中医药大学2023届毕业生培养质量评价数据。</w:t>
      </w:r>
    </w:p>
    <w:p>
      <w:pPr>
        <w:rPr>
          <w:rFonts w:cs="宋体"/>
          <w:color w:val="000000"/>
          <w:sz w:val="18"/>
        </w:rPr>
      </w:pPr>
    </w:p>
    <w:p>
      <w:pPr>
        <w:pStyle w:val="160"/>
        <w:numPr>
          <w:ilvl w:val="3"/>
          <w:numId w:val="12"/>
        </w:numPr>
        <w:spacing w:before="120" w:after="120"/>
        <w:rPr>
          <w:rFonts w:cs="宋体"/>
          <w:color w:val="006699"/>
        </w:rPr>
      </w:pPr>
      <w:bookmarkStart w:id="18" w:name="_Toc153811511"/>
      <w:r>
        <w:rPr>
          <w:rFonts w:cs="宋体"/>
          <w:color w:val="006699"/>
        </w:rPr>
        <w:t>用人单位流向</w:t>
      </w:r>
      <w:bookmarkEnd w:id="18"/>
    </w:p>
    <w:p>
      <w:pPr>
        <w:pStyle w:val="161"/>
        <w:numPr>
          <w:ilvl w:val="4"/>
          <w:numId w:val="12"/>
        </w:numPr>
        <w:spacing w:line="320" w:lineRule="auto"/>
        <w:outlineLvl w:val="9"/>
        <w:rPr>
          <w:rFonts w:cs="宋体"/>
          <w:color w:val="006699"/>
        </w:rPr>
      </w:pPr>
      <w:r>
        <w:rPr>
          <w:rFonts w:cs="宋体"/>
          <w:color w:val="006699"/>
        </w:rPr>
        <w:t>毕业生的用人单位流向</w:t>
      </w:r>
    </w:p>
    <w:p>
      <w:pPr>
        <w:pStyle w:val="164"/>
        <w:keepNext/>
        <w:spacing w:line="360" w:lineRule="auto"/>
        <w:ind w:firstLine="420"/>
        <w:jc w:val="both"/>
        <w:rPr>
          <w:rFonts w:cs="宋体"/>
          <w:color w:val="000000"/>
          <w:lang w:val="en-US" w:eastAsia="zh-CN" w:bidi="ar-SA"/>
        </w:rPr>
      </w:pPr>
      <w:r>
        <w:rPr>
          <w:rFonts w:cs="宋体"/>
          <w:b/>
          <w:bCs/>
          <w:color w:val="000000"/>
          <w:lang w:val="en-US" w:eastAsia="zh-CN" w:bidi="ar-SA"/>
        </w:rPr>
        <w:t>毕业生主要就业于</w:t>
      </w:r>
      <w:r>
        <w:rPr>
          <w:rFonts w:hint="eastAsia" w:cs="宋体"/>
          <w:b/>
          <w:bCs/>
          <w:color w:val="000000"/>
          <w:lang w:val="en-US" w:eastAsia="zh-CN" w:bidi="ar-SA"/>
        </w:rPr>
        <w:t>民营企业</w:t>
      </w:r>
      <w:r>
        <w:rPr>
          <w:rFonts w:hint="eastAsia" w:cs="宋体"/>
          <w:b/>
          <w:bCs/>
          <w:color w:val="000000"/>
          <w:lang w:val="en-US" w:bidi="ar-SA"/>
        </w:rPr>
        <w:t>/个体</w:t>
      </w:r>
      <w:r>
        <w:rPr>
          <w:rFonts w:hint="eastAsia" w:cs="宋体"/>
          <w:b/>
          <w:bCs/>
          <w:color w:val="000000"/>
          <w:lang w:val="en-US" w:eastAsia="zh-CN" w:bidi="ar-SA"/>
        </w:rPr>
        <w:t>及政府机构</w:t>
      </w:r>
      <w:r>
        <w:rPr>
          <w:rFonts w:cs="宋体"/>
          <w:b/>
          <w:bCs/>
          <w:color w:val="000000"/>
          <w:lang w:val="en-US" w:eastAsia="zh-CN" w:bidi="ar-SA"/>
        </w:rPr>
        <w:t>。</w:t>
      </w:r>
      <w:r>
        <w:rPr>
          <w:rFonts w:cs="宋体"/>
          <w:color w:val="000000"/>
          <w:lang w:val="en-US" w:eastAsia="zh-CN" w:bidi="ar-SA"/>
        </w:rPr>
        <w:t>我校2023届</w:t>
      </w:r>
      <w:r>
        <w:rPr>
          <w:rFonts w:hint="eastAsia" w:cs="宋体"/>
          <w:color w:val="000000"/>
          <w:lang w:val="en-US" w:eastAsia="zh-CN" w:bidi="ar-SA"/>
        </w:rPr>
        <w:t>均有四</w:t>
      </w:r>
      <w:r>
        <w:rPr>
          <w:rFonts w:cs="宋体"/>
          <w:color w:val="000000"/>
          <w:lang w:val="en-US" w:eastAsia="zh-CN" w:bidi="ar-SA"/>
        </w:rPr>
        <w:t>成</w:t>
      </w:r>
      <w:r>
        <w:rPr>
          <w:rFonts w:hint="eastAsia" w:cs="宋体"/>
          <w:color w:val="000000"/>
          <w:lang w:val="en-US" w:eastAsia="zh-CN" w:bidi="ar-SA"/>
        </w:rPr>
        <w:t>左右本科</w:t>
      </w:r>
      <w:r>
        <w:rPr>
          <w:rFonts w:cs="宋体"/>
          <w:color w:val="000000"/>
          <w:lang w:val="en-US" w:eastAsia="zh-CN" w:bidi="ar-SA"/>
        </w:rPr>
        <w:t>毕业生在民营企业/个体（41%）</w:t>
      </w:r>
      <w:r>
        <w:rPr>
          <w:rFonts w:hint="eastAsia" w:cs="宋体"/>
          <w:color w:val="000000"/>
          <w:lang w:val="en-US" w:eastAsia="zh-CN" w:bidi="ar-SA"/>
        </w:rPr>
        <w:t>、政府机构/科研或其他事业单位（37%）</w:t>
      </w:r>
      <w:r>
        <w:rPr>
          <w:rFonts w:cs="宋体"/>
          <w:color w:val="000000"/>
          <w:lang w:val="en-US" w:eastAsia="zh-CN" w:bidi="ar-SA"/>
        </w:rPr>
        <w:t>就业。</w:t>
      </w:r>
    </w:p>
    <w:p>
      <w:pPr>
        <w:jc w:val="center"/>
        <w:rPr>
          <w:rFonts w:cs="宋体"/>
          <w:color w:val="000000"/>
          <w:lang w:val="en-US" w:eastAsia="zh-CN" w:bidi="ar-SA"/>
        </w:rPr>
      </w:pPr>
      <w:r>
        <w:drawing>
          <wp:inline distT="0" distB="0" distL="0" distR="0">
            <wp:extent cx="5219700" cy="2514600"/>
            <wp:effectExtent l="0" t="0" r="0" b="0"/>
            <wp:docPr id="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19" w:name="_Toc153811557"/>
      <w:r>
        <w:rPr>
          <w:rFonts w:cs="宋体"/>
          <w:color w:val="000000"/>
        </w:rPr>
        <w:t>不同类型用人单位分布</w:t>
      </w:r>
      <w:bookmarkEnd w:id="19"/>
    </w:p>
    <w:p>
      <w:pPr>
        <w:pStyle w:val="165"/>
        <w:spacing w:line="360" w:lineRule="auto"/>
        <w:rPr>
          <w:rFonts w:hint="eastAsia" w:cs="宋体"/>
          <w:color w:val="000000"/>
        </w:rPr>
      </w:pPr>
      <w:r>
        <w:rPr>
          <w:rFonts w:cs="宋体"/>
          <w:color w:val="000000"/>
        </w:rPr>
        <w:t>数据来源：麦可思-天津中医药大学2023届毕业生培养质量评价数据。</w:t>
      </w:r>
    </w:p>
    <w:p>
      <w:pPr>
        <w:rPr>
          <w:rFonts w:cs="宋体"/>
          <w:color w:val="000000"/>
          <w:sz w:val="18"/>
        </w:rPr>
      </w:pPr>
    </w:p>
    <w:p>
      <w:pPr>
        <w:pStyle w:val="161"/>
        <w:numPr>
          <w:ilvl w:val="4"/>
          <w:numId w:val="12"/>
        </w:numPr>
        <w:spacing w:line="320" w:lineRule="auto"/>
        <w:outlineLvl w:val="9"/>
        <w:rPr>
          <w:rFonts w:cs="宋体"/>
          <w:color w:val="006699"/>
        </w:rPr>
      </w:pPr>
      <w:r>
        <w:rPr>
          <w:rFonts w:cs="宋体"/>
          <w:color w:val="006699"/>
        </w:rPr>
        <w:t>各专业的用人单位流向</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专业层面上，</w:t>
      </w:r>
      <w:r>
        <w:rPr>
          <w:rFonts w:hint="eastAsia" w:cs="宋体"/>
          <w:color w:val="000000"/>
          <w:lang w:val="en-US" w:eastAsia="zh-CN" w:bidi="ar-SA"/>
        </w:rPr>
        <w:t>中药制药（79%）、制药工程（75%）、药学（69%）、市场营销（65%）</w:t>
      </w:r>
      <w:r>
        <w:rPr>
          <w:rFonts w:cs="宋体"/>
          <w:color w:val="000000"/>
          <w:lang w:val="en-US" w:eastAsia="zh-CN" w:bidi="ar-SA"/>
        </w:rPr>
        <w:t>专业</w:t>
      </w:r>
      <w:r>
        <w:rPr>
          <w:rFonts w:hint="eastAsia" w:cs="宋体"/>
          <w:color w:val="000000"/>
          <w:lang w:val="en-US" w:eastAsia="zh-CN" w:bidi="ar-SA"/>
        </w:rPr>
        <w:t>本科</w:t>
      </w:r>
      <w:r>
        <w:rPr>
          <w:rFonts w:cs="宋体"/>
          <w:color w:val="000000"/>
          <w:lang w:val="en-US" w:eastAsia="zh-CN" w:bidi="ar-SA"/>
        </w:rPr>
        <w:t>毕业生就业于</w:t>
      </w:r>
      <w:r>
        <w:rPr>
          <w:rFonts w:hint="eastAsia" w:cs="宋体"/>
          <w:color w:val="000000"/>
          <w:lang w:val="en-US" w:eastAsia="zh-CN" w:bidi="ar-SA"/>
        </w:rPr>
        <w:t>民营企业</w:t>
      </w:r>
      <w:r>
        <w:rPr>
          <w:rFonts w:hint="eastAsia" w:cs="宋体"/>
          <w:color w:val="000000"/>
          <w:lang w:val="en-US" w:bidi="ar-SA"/>
        </w:rPr>
        <w:t>/个体的比例相对较高；</w:t>
      </w:r>
      <w:r>
        <w:rPr>
          <w:rFonts w:hint="eastAsia" w:cs="宋体"/>
          <w:color w:val="000000"/>
          <w:lang w:val="en-US" w:eastAsia="zh-CN" w:bidi="ar-SA"/>
        </w:rPr>
        <w:t>中医学（72%）、护理学（55%）、康复治疗学（45%）</w:t>
      </w:r>
      <w:r>
        <w:rPr>
          <w:rFonts w:cs="宋体"/>
          <w:color w:val="000000"/>
          <w:lang w:val="en-US" w:eastAsia="zh-CN" w:bidi="ar-SA"/>
        </w:rPr>
        <w:t>专业</w:t>
      </w:r>
      <w:r>
        <w:rPr>
          <w:rFonts w:hint="eastAsia" w:cs="宋体"/>
          <w:color w:val="000000"/>
          <w:lang w:val="en-US" w:eastAsia="zh-CN" w:bidi="ar-SA"/>
        </w:rPr>
        <w:t>本科</w:t>
      </w:r>
      <w:r>
        <w:rPr>
          <w:rFonts w:cs="宋体"/>
          <w:color w:val="000000"/>
          <w:lang w:val="en-US" w:eastAsia="zh-CN" w:bidi="ar-SA"/>
        </w:rPr>
        <w:t>毕业生</w:t>
      </w:r>
      <w:r>
        <w:rPr>
          <w:rFonts w:hint="eastAsia" w:cs="宋体"/>
          <w:color w:val="000000"/>
          <w:lang w:val="en-US" w:eastAsia="zh-CN" w:bidi="ar-SA"/>
        </w:rPr>
        <w:t>主要就业于政府机构</w:t>
      </w:r>
      <w:r>
        <w:rPr>
          <w:rFonts w:hint="eastAsia" w:cs="宋体"/>
          <w:color w:val="000000"/>
          <w:lang w:val="en-US" w:bidi="ar-SA"/>
        </w:rPr>
        <w:t>/科研或其他事业单位</w:t>
      </w:r>
      <w:r>
        <w:rPr>
          <w:rFonts w:cs="宋体"/>
          <w:color w:val="000000"/>
          <w:lang w:val="en-US" w:eastAsia="zh-CN" w:bidi="ar-SA"/>
        </w:rPr>
        <w:t>。</w:t>
      </w:r>
    </w:p>
    <w:p>
      <w:pPr>
        <w:jc w:val="center"/>
        <w:rPr>
          <w:rFonts w:cs="宋体"/>
          <w:color w:val="000000"/>
        </w:rPr>
      </w:pPr>
      <w:r>
        <w:drawing>
          <wp:inline distT="0" distB="0" distL="0" distR="0">
            <wp:extent cx="5219700" cy="3048000"/>
            <wp:effectExtent l="0" t="0" r="0" b="0"/>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9700" cy="30480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20" w:name="_Toc153811558"/>
      <w:r>
        <w:rPr>
          <w:rFonts w:cs="宋体"/>
          <w:color w:val="000000"/>
        </w:rPr>
        <w:t>各专业毕业生的用人单位类型分布</w:t>
      </w:r>
      <w:bookmarkEnd w:id="20"/>
    </w:p>
    <w:p>
      <w:pPr>
        <w:pStyle w:val="165"/>
        <w:keepNext/>
        <w:spacing w:line="360" w:lineRule="auto"/>
        <w:rPr>
          <w:rFonts w:cs="宋体"/>
          <w:color w:val="000000"/>
        </w:rPr>
      </w:pPr>
      <w:r>
        <w:rPr>
          <w:rFonts w:cs="宋体"/>
          <w:color w:val="000000"/>
        </w:rPr>
        <w:t>注：个别专业由于样本较少没有包括在内。</w:t>
      </w:r>
    </w:p>
    <w:p>
      <w:pPr>
        <w:pStyle w:val="165"/>
        <w:spacing w:line="360" w:lineRule="auto"/>
        <w:rPr>
          <w:rFonts w:cs="宋体"/>
          <w:color w:val="000000"/>
        </w:rPr>
      </w:pPr>
      <w:r>
        <w:rPr>
          <w:rFonts w:cs="宋体"/>
          <w:color w:val="000000"/>
        </w:rPr>
        <w:t>数据来源：麦可思-天津中医药大学2023届毕业生培养质量评价数据。</w:t>
      </w:r>
    </w:p>
    <w:p>
      <w:pPr>
        <w:pStyle w:val="34"/>
        <w:rPr>
          <w:rFonts w:hint="eastAsia"/>
        </w:rPr>
      </w:pP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我校2023届分别有12%、26%的</w:t>
      </w:r>
      <w:r>
        <w:rPr>
          <w:rFonts w:hint="eastAsia" w:cs="宋体"/>
          <w:color w:val="000000"/>
          <w:lang w:val="en-US" w:eastAsia="zh-CN" w:bidi="ar-SA"/>
        </w:rPr>
        <w:t>本科</w:t>
      </w:r>
      <w:r>
        <w:rPr>
          <w:rFonts w:cs="宋体"/>
          <w:color w:val="000000"/>
          <w:lang w:val="en-US" w:eastAsia="zh-CN" w:bidi="ar-SA"/>
        </w:rPr>
        <w:t>毕业生在世界500强、中国500强企业就业。</w:t>
      </w:r>
    </w:p>
    <w:p>
      <w:pPr>
        <w:jc w:val="center"/>
        <w:rPr>
          <w:rFonts w:cs="宋体"/>
          <w:color w:val="000000"/>
        </w:rPr>
      </w:pPr>
      <w:r>
        <w:drawing>
          <wp:inline distT="0" distB="0" distL="0" distR="0">
            <wp:extent cx="3600450" cy="1800225"/>
            <wp:effectExtent l="0" t="0" r="0" b="0"/>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pic:cNvPicPr>
                      <a:picLocks noChangeAspect="1" noChangeArrowheads="1"/>
                    </pic:cNvPicPr>
                  </pic:nvPicPr>
                  <pic:blipFill>
                    <a:blip r:embed="rId23">
                      <a:extLst>
                        <a:ext uri="{28A0092B-C50C-407E-A947-70E740481C1C}">
                          <a14:useLocalDpi xmlns:a14="http://schemas.microsoft.com/office/drawing/2010/main" val="0"/>
                        </a:ext>
                      </a:extLst>
                    </a:blip>
                    <a:srcRect r="33333"/>
                    <a:stretch>
                      <a:fillRect/>
                    </a:stretch>
                  </pic:blipFill>
                  <pic:spPr>
                    <a:xfrm>
                      <a:off x="0" y="0"/>
                      <a:ext cx="3600450" cy="18002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21" w:name="_Toc153811559"/>
      <w:r>
        <w:rPr>
          <w:rFonts w:cs="宋体"/>
          <w:color w:val="000000"/>
        </w:rPr>
        <w:t>毕业生在500强企业</w:t>
      </w:r>
      <w:r>
        <w:rPr>
          <w:rFonts w:cs="宋体"/>
          <w:color w:val="000000"/>
          <w:lang w:val="en-US" w:eastAsia="zh-CN" w:bidi="ar-SA"/>
        </w:rPr>
        <w:t>就业的比例</w:t>
      </w:r>
      <w:bookmarkEnd w:id="21"/>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18"/>
        </w:rPr>
      </w:pPr>
    </w:p>
    <w:p>
      <w:pPr>
        <w:pStyle w:val="160"/>
        <w:numPr>
          <w:ilvl w:val="3"/>
          <w:numId w:val="12"/>
        </w:numPr>
        <w:spacing w:before="120" w:after="120"/>
        <w:rPr>
          <w:rFonts w:cs="宋体"/>
          <w:color w:val="006699"/>
        </w:rPr>
      </w:pPr>
      <w:bookmarkStart w:id="22" w:name="_Toc153811512"/>
      <w:r>
        <w:rPr>
          <w:rFonts w:cs="宋体"/>
          <w:color w:val="006699"/>
        </w:rPr>
        <w:t>就业地区流向</w:t>
      </w:r>
      <w:bookmarkEnd w:id="22"/>
    </w:p>
    <w:p>
      <w:pPr>
        <w:pStyle w:val="164"/>
        <w:keepNext/>
        <w:spacing w:line="360" w:lineRule="auto"/>
        <w:ind w:firstLine="420"/>
        <w:jc w:val="both"/>
        <w:rPr>
          <w:rFonts w:cs="宋体"/>
          <w:color w:val="000000"/>
          <w:lang w:val="en-US" w:eastAsia="zh-CN" w:bidi="ar-SA"/>
        </w:rPr>
      </w:pPr>
      <w:r>
        <w:rPr>
          <w:rFonts w:cs="宋体"/>
          <w:b/>
          <w:bCs/>
          <w:color w:val="000000"/>
          <w:lang w:val="en-US" w:eastAsia="zh-CN" w:bidi="ar-SA"/>
        </w:rPr>
        <w:t>毕业生主要服务于</w:t>
      </w:r>
      <w:r>
        <w:rPr>
          <w:rFonts w:hint="eastAsia" w:cs="宋体"/>
          <w:b/>
          <w:bCs/>
          <w:color w:val="000000"/>
          <w:lang w:val="en-US" w:eastAsia="zh-CN" w:bidi="ar-SA"/>
        </w:rPr>
        <w:t>新一线城市</w:t>
      </w:r>
      <w:r>
        <w:rPr>
          <w:rFonts w:cs="宋体"/>
          <w:b/>
          <w:bCs/>
          <w:color w:val="000000"/>
          <w:lang w:val="en-US" w:eastAsia="zh-CN" w:bidi="ar-SA"/>
        </w:rPr>
        <w:t>、</w:t>
      </w:r>
      <w:r>
        <w:rPr>
          <w:rFonts w:hint="eastAsia" w:cs="宋体"/>
          <w:b/>
          <w:bCs/>
          <w:color w:val="000000"/>
          <w:lang w:val="en-US" w:eastAsia="zh-CN" w:bidi="ar-SA"/>
        </w:rPr>
        <w:t>京津冀</w:t>
      </w:r>
      <w:r>
        <w:rPr>
          <w:rFonts w:cs="宋体"/>
          <w:b/>
          <w:bCs/>
          <w:color w:val="000000"/>
          <w:lang w:val="en-US" w:eastAsia="zh-CN" w:bidi="ar-SA"/>
        </w:rPr>
        <w:t>等重点战略区域发展。</w:t>
      </w:r>
      <w:r>
        <w:rPr>
          <w:rFonts w:cs="宋体"/>
          <w:color w:val="000000"/>
          <w:lang w:val="en-US" w:eastAsia="zh-CN" w:bidi="ar-SA"/>
        </w:rPr>
        <w:t>学校大力推动毕业生服务新一线城市、京津冀、一带一路等国家发展战略，面向重点区域就业，为国家经济建设与产业结构转型提供人才支持。我校2023届</w:t>
      </w:r>
      <w:r>
        <w:rPr>
          <w:rFonts w:hint="eastAsia" w:cs="宋体"/>
          <w:color w:val="000000"/>
          <w:lang w:val="en-US" w:eastAsia="zh-CN" w:bidi="ar-SA"/>
        </w:rPr>
        <w:t>本科</w:t>
      </w:r>
      <w:r>
        <w:rPr>
          <w:rFonts w:cs="宋体"/>
          <w:color w:val="000000"/>
          <w:lang w:val="en-US" w:eastAsia="zh-CN" w:bidi="ar-SA"/>
        </w:rPr>
        <w:t>毕业生中，</w:t>
      </w:r>
      <w:r>
        <w:rPr>
          <w:rFonts w:hint="eastAsia" w:cs="宋体"/>
          <w:color w:val="000000"/>
          <w:lang w:val="en-US" w:eastAsia="zh-CN" w:bidi="ar-SA"/>
        </w:rPr>
        <w:t>有</w:t>
      </w:r>
      <w:r>
        <w:rPr>
          <w:rFonts w:cs="宋体"/>
          <w:color w:val="000000"/>
          <w:lang w:val="en-US" w:eastAsia="zh-CN" w:bidi="ar-SA"/>
        </w:rPr>
        <w:t>48.6%在新一线城市就业；赴京津冀、一带一路、长江经济带就业的占比分别为44.1%、33.7%、29.1%。</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在所有毕业生就业省份</w:t>
      </w:r>
      <w:r>
        <w:rPr>
          <w:rFonts w:hint="eastAsia" w:cs="宋体"/>
          <w:color w:val="000000"/>
          <w:lang w:val="en-US" w:eastAsia="zh-CN" w:bidi="ar-SA"/>
        </w:rPr>
        <w:t>及城市</w:t>
      </w:r>
      <w:r>
        <w:rPr>
          <w:rFonts w:cs="宋体"/>
          <w:color w:val="000000"/>
          <w:lang w:val="en-US" w:eastAsia="zh-CN" w:bidi="ar-SA"/>
        </w:rPr>
        <w:t>中，赴天津、北京、上海就业的人数居前三位。</w:t>
      </w:r>
    </w:p>
    <w:p>
      <w:pPr>
        <w:jc w:val="center"/>
        <w:rPr>
          <w:rFonts w:cs="宋体"/>
          <w:color w:val="000000"/>
          <w:lang w:val="en-US" w:eastAsia="zh-CN" w:bidi="ar-SA"/>
        </w:rPr>
      </w:pPr>
      <w:r>
        <w:drawing>
          <wp:inline distT="0" distB="0" distL="0" distR="0">
            <wp:extent cx="3257550" cy="45910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57550" cy="45910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23" w:name="_Toc153811560"/>
      <w:r>
        <w:rPr>
          <w:rFonts w:cs="宋体"/>
          <w:color w:val="000000"/>
        </w:rPr>
        <w:t>在重点区域就业的比例</w:t>
      </w:r>
      <w:bookmarkEnd w:id="23"/>
    </w:p>
    <w:p>
      <w:pPr>
        <w:pStyle w:val="165"/>
        <w:spacing w:line="360" w:lineRule="auto"/>
        <w:rPr>
          <w:rFonts w:cs="宋体"/>
          <w:color w:val="000000"/>
        </w:rPr>
      </w:pPr>
      <w:r>
        <w:rPr>
          <w:rFonts w:cs="宋体"/>
          <w:color w:val="000000"/>
        </w:rPr>
        <w:t>数据来源：麦可思-天津中医药大学2023届毕业生培养质量评价数据。</w:t>
      </w:r>
    </w:p>
    <w:p>
      <w:pPr>
        <w:rPr>
          <w:rFonts w:hint="eastAsia" w:cs="宋体"/>
          <w:sz w:val="18"/>
        </w:rPr>
      </w:pPr>
    </w:p>
    <w:p>
      <w:pPr>
        <w:pStyle w:val="163"/>
        <w:numPr>
          <w:ilvl w:val="8"/>
          <w:numId w:val="13"/>
        </w:numPr>
        <w:spacing w:before="80" w:line="360" w:lineRule="auto"/>
        <w:rPr>
          <w:rFonts w:cs="宋体"/>
        </w:rPr>
      </w:pPr>
      <w:bookmarkStart w:id="24" w:name="_Toc153811561"/>
      <w:r>
        <w:rPr>
          <w:rFonts w:cs="宋体"/>
        </w:rPr>
        <w:t>主要就业省份分布</w:t>
      </w:r>
      <w:bookmarkEnd w:id="24"/>
    </w:p>
    <w:p>
      <w:pPr>
        <w:keepNext/>
        <w:jc w:val="right"/>
        <w:rPr>
          <w:rFonts w:cs="宋体"/>
          <w:b/>
          <w:vanish/>
          <w:sz w:val="18"/>
        </w:rPr>
      </w:pPr>
      <w:r>
        <w:rPr>
          <w:rFonts w:cs="宋体"/>
          <w:b/>
          <w:sz w:val="18"/>
        </w:rPr>
        <w:t>单位：%</w:t>
      </w:r>
    </w:p>
    <w:p>
      <w:r>
        <w:t xml:space="preserve"> </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5"/>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67" w:type="dxa"/>
            <w:tcBorders>
              <w:top w:val="single" w:color="9FDFFF" w:sz="6" w:space="0"/>
              <w:left w:val="single" w:color="9FDFFF" w:sz="6" w:space="0"/>
              <w:bottom w:val="single" w:color="9FDFFF" w:sz="6" w:space="0"/>
              <w:right w:val="single" w:color="9FDFFF" w:sz="6" w:space="0"/>
            </w:tcBorders>
            <w:shd w:val="clear" w:color="auto" w:fill="006699"/>
            <w:tcMar>
              <w:top w:w="60" w:type="dxa"/>
              <w:bottom w:w="60" w:type="dxa"/>
            </w:tcMar>
            <w:vAlign w:val="center"/>
          </w:tcPr>
          <w:p>
            <w:pPr>
              <w:keepNext/>
              <w:spacing w:line="240" w:lineRule="auto"/>
              <w:jc w:val="center"/>
              <w:rPr>
                <w:rFonts w:cs="宋体"/>
                <w:b/>
                <w:color w:val="FFFFFF"/>
                <w:sz w:val="20"/>
              </w:rPr>
            </w:pPr>
            <w:r>
              <w:rPr>
                <w:rFonts w:cs="宋体"/>
                <w:b/>
                <w:color w:val="FFFFFF"/>
                <w:sz w:val="20"/>
              </w:rPr>
              <w:t>就业省份</w:t>
            </w:r>
          </w:p>
        </w:tc>
        <w:tc>
          <w:tcPr>
            <w:tcW w:w="567" w:type="dxa"/>
            <w:tcBorders>
              <w:top w:val="single" w:color="9FDFFF" w:sz="6" w:space="0"/>
              <w:left w:val="single" w:color="9FDFFF" w:sz="6" w:space="0"/>
              <w:bottom w:val="single" w:color="9FDFFF" w:sz="6" w:space="0"/>
              <w:right w:val="single" w:color="9FDFFF" w:sz="6" w:space="0"/>
            </w:tcBorders>
            <w:shd w:val="clear" w:color="auto" w:fill="23A5C3"/>
            <w:tcMar>
              <w:top w:w="60" w:type="dxa"/>
              <w:bottom w:w="60" w:type="dxa"/>
            </w:tcMar>
            <w:vAlign w:val="center"/>
          </w:tcPr>
          <w:p>
            <w:pPr>
              <w:spacing w:line="240" w:lineRule="auto"/>
              <w:jc w:val="center"/>
              <w:rPr>
                <w:rFonts w:cs="宋体"/>
                <w:b/>
                <w:color w:val="FFFFFF"/>
                <w:sz w:val="20"/>
              </w:rPr>
            </w:pPr>
            <w:r>
              <w:rPr>
                <w:rFonts w:cs="宋体"/>
                <w:b/>
                <w:color w:val="FFFFFF"/>
                <w:sz w:val="2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天津</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北京</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上海</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江苏</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广东</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甘肃</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浙江</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河南</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四川</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新疆</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云南</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2.8</w:t>
            </w:r>
          </w:p>
        </w:tc>
      </w:tr>
    </w:tbl>
    <w:p>
      <w:pPr>
        <w:pStyle w:val="165"/>
        <w:spacing w:line="360" w:lineRule="auto"/>
        <w:rPr>
          <w:rFonts w:hint="eastAsia" w:cs="宋体"/>
        </w:rPr>
      </w:pPr>
      <w:r>
        <w:rPr>
          <w:rFonts w:cs="宋体"/>
        </w:rPr>
        <w:t>数据来源：麦可思-天津中医药大学2023届毕业生培养质量评价数据。</w:t>
      </w:r>
    </w:p>
    <w:p>
      <w:pPr>
        <w:pStyle w:val="163"/>
        <w:numPr>
          <w:ilvl w:val="8"/>
          <w:numId w:val="13"/>
        </w:numPr>
        <w:spacing w:before="80" w:line="360" w:lineRule="auto"/>
        <w:rPr>
          <w:rFonts w:cs="宋体"/>
        </w:rPr>
      </w:pPr>
      <w:bookmarkStart w:id="25" w:name="_Toc153811562"/>
      <w:r>
        <w:rPr>
          <w:rFonts w:cs="宋体"/>
        </w:rPr>
        <w:t>主要就业城市分布</w:t>
      </w:r>
      <w:bookmarkEnd w:id="25"/>
    </w:p>
    <w:p>
      <w:pPr>
        <w:keepNext/>
        <w:jc w:val="right"/>
        <w:rPr>
          <w:rFonts w:cs="宋体"/>
          <w:b/>
          <w:vanish/>
          <w:sz w:val="18"/>
        </w:rPr>
      </w:pPr>
      <w:r>
        <w:rPr>
          <w:rFonts w:cs="宋体"/>
          <w:b/>
          <w:sz w:val="18"/>
        </w:rPr>
        <w:t>单位：%</w:t>
      </w:r>
    </w:p>
    <w:p>
      <w:r>
        <w:t xml:space="preserve"> </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5"/>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67" w:type="dxa"/>
            <w:tcBorders>
              <w:top w:val="single" w:color="9FDFFF" w:sz="6" w:space="0"/>
              <w:left w:val="single" w:color="9FDFFF" w:sz="6" w:space="0"/>
              <w:bottom w:val="single" w:color="9FDFFF" w:sz="6" w:space="0"/>
              <w:right w:val="single" w:color="9FDFFF" w:sz="6" w:space="0"/>
            </w:tcBorders>
            <w:shd w:val="clear" w:color="auto" w:fill="006699"/>
            <w:tcMar>
              <w:top w:w="60" w:type="dxa"/>
              <w:bottom w:w="60" w:type="dxa"/>
            </w:tcMar>
            <w:vAlign w:val="center"/>
          </w:tcPr>
          <w:p>
            <w:pPr>
              <w:keepNext/>
              <w:spacing w:line="240" w:lineRule="auto"/>
              <w:jc w:val="center"/>
              <w:rPr>
                <w:rFonts w:cs="宋体"/>
                <w:b/>
                <w:color w:val="FFFFFF"/>
                <w:sz w:val="20"/>
              </w:rPr>
            </w:pPr>
            <w:r>
              <w:rPr>
                <w:rFonts w:cs="宋体"/>
                <w:b/>
                <w:color w:val="FFFFFF"/>
                <w:sz w:val="20"/>
              </w:rPr>
              <w:t>就业城市</w:t>
            </w:r>
          </w:p>
        </w:tc>
        <w:tc>
          <w:tcPr>
            <w:tcW w:w="567" w:type="dxa"/>
            <w:tcBorders>
              <w:top w:val="single" w:color="9FDFFF" w:sz="6" w:space="0"/>
              <w:left w:val="single" w:color="9FDFFF" w:sz="6" w:space="0"/>
              <w:bottom w:val="single" w:color="9FDFFF" w:sz="6" w:space="0"/>
              <w:right w:val="single" w:color="9FDFFF" w:sz="6" w:space="0"/>
            </w:tcBorders>
            <w:shd w:val="clear" w:color="auto" w:fill="23A5C3"/>
            <w:tcMar>
              <w:top w:w="60" w:type="dxa"/>
              <w:bottom w:w="60" w:type="dxa"/>
            </w:tcMar>
            <w:vAlign w:val="center"/>
          </w:tcPr>
          <w:p>
            <w:pPr>
              <w:spacing w:line="240" w:lineRule="auto"/>
              <w:jc w:val="center"/>
              <w:rPr>
                <w:rFonts w:cs="宋体"/>
                <w:b/>
                <w:color w:val="FFFFFF"/>
                <w:sz w:val="20"/>
              </w:rPr>
            </w:pPr>
            <w:r>
              <w:rPr>
                <w:rFonts w:cs="宋体"/>
                <w:b/>
                <w:color w:val="FFFFFF"/>
                <w:sz w:val="2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天津</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北京</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上海</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广州</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成都</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南京</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兰州</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西安</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重庆</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DAF1FE"/>
            <w:tcMar>
              <w:top w:w="20" w:type="dxa"/>
              <w:bottom w:w="20" w:type="dxa"/>
            </w:tcMar>
            <w:vAlign w:val="center"/>
          </w:tcPr>
          <w:p>
            <w:pPr>
              <w:spacing w:line="240" w:lineRule="auto"/>
              <w:jc w:val="left"/>
              <w:rPr>
                <w:rFonts w:cs="宋体"/>
                <w:color w:val="000000"/>
                <w:sz w:val="20"/>
              </w:rPr>
            </w:pPr>
            <w:r>
              <w:rPr>
                <w:rFonts w:cs="宋体"/>
                <w:color w:val="000000"/>
                <w:sz w:val="20"/>
              </w:rPr>
              <w:t>杭州</w:t>
            </w:r>
          </w:p>
        </w:tc>
        <w:tc>
          <w:tcPr>
            <w:tcW w:w="567"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rPr>
            </w:pPr>
            <w:r>
              <w:rPr>
                <w:rFonts w:cs="宋体"/>
                <w:color w:val="000000"/>
                <w:sz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昆明</w:t>
            </w:r>
          </w:p>
        </w:tc>
        <w:tc>
          <w:tcPr>
            <w:tcW w:w="567"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1.3</w:t>
            </w:r>
          </w:p>
        </w:tc>
      </w:tr>
    </w:tbl>
    <w:p>
      <w:pPr>
        <w:pStyle w:val="165"/>
        <w:spacing w:line="360" w:lineRule="auto"/>
        <w:rPr>
          <w:rFonts w:cs="宋体"/>
        </w:rPr>
      </w:pPr>
      <w:r>
        <w:rPr>
          <w:rFonts w:cs="宋体"/>
        </w:rPr>
        <w:t>数据来源：麦可思-天津中医药大学2023届毕业生培养质量评价数据。</w:t>
      </w:r>
    </w:p>
    <w:p>
      <w:pPr>
        <w:rPr>
          <w:rFonts w:cs="宋体"/>
          <w:sz w:val="18"/>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rPr>
      </w:pPr>
      <w:bookmarkStart w:id="26" w:name="_Toc153811513"/>
      <w:r>
        <w:rPr>
          <w:rFonts w:cs="宋体"/>
          <w:color w:val="006699"/>
        </w:rPr>
        <w:drawing>
          <wp:anchor distT="0" distB="0" distL="114300" distR="114300" simplePos="0" relativeHeight="251669504" behindDoc="1" locked="0" layoutInCell="1" allowOverlap="1">
            <wp:simplePos x="0" y="0"/>
            <wp:positionH relativeFrom="column">
              <wp:posOffset>967740</wp:posOffset>
            </wp:positionH>
            <wp:positionV relativeFrom="paragraph">
              <wp:posOffset>36195</wp:posOffset>
            </wp:positionV>
            <wp:extent cx="471805" cy="334645"/>
            <wp:effectExtent l="0" t="0" r="0" b="0"/>
            <wp:wrapNone/>
            <wp:docPr id="6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毕业生的升学情况</w:t>
      </w:r>
      <w:bookmarkEnd w:id="26"/>
    </w:p>
    <w:p>
      <w:pPr>
        <w:pStyle w:val="161"/>
        <w:numPr>
          <w:ilvl w:val="4"/>
          <w:numId w:val="12"/>
        </w:numPr>
        <w:spacing w:line="320" w:lineRule="auto"/>
        <w:outlineLvl w:val="9"/>
        <w:rPr>
          <w:rFonts w:cs="宋体"/>
          <w:color w:val="006699"/>
        </w:rPr>
      </w:pPr>
      <w:r>
        <w:rPr>
          <w:rFonts w:cs="宋体"/>
          <w:color w:val="006699"/>
        </w:rPr>
        <w:t>毕业生的升学比例</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毕业生的</w:t>
      </w:r>
      <w:r>
        <w:rPr>
          <w:rFonts w:hint="eastAsia" w:cs="宋体"/>
          <w:color w:val="000000"/>
          <w:lang w:val="en-US" w:eastAsia="zh-CN" w:bidi="ar-SA"/>
        </w:rPr>
        <w:t>读研率</w:t>
      </w:r>
      <w:r>
        <w:rPr>
          <w:rFonts w:cs="宋体"/>
          <w:color w:val="000000"/>
          <w:lang w:val="en-US" w:eastAsia="zh-CN" w:bidi="ar-SA"/>
        </w:rPr>
        <w:t>为29.60%。</w:t>
      </w:r>
    </w:p>
    <w:p>
      <w:pPr>
        <w:jc w:val="center"/>
        <w:rPr>
          <w:rFonts w:cs="宋体"/>
          <w:color w:val="000000"/>
        </w:rPr>
      </w:pPr>
      <w:r>
        <w:drawing>
          <wp:inline distT="0" distB="0" distL="0" distR="0">
            <wp:extent cx="5219700" cy="2514600"/>
            <wp:effectExtent l="0" t="0" r="0" b="0"/>
            <wp:docPr id="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27" w:name="_Toc153811563"/>
      <w:r>
        <w:rPr>
          <w:rFonts w:hint="eastAsia" w:cs="宋体"/>
          <w:color w:val="000000"/>
          <w:szCs w:val="60"/>
          <w:lang w:val="en-US" w:eastAsia="zh-CN"/>
        </w:rPr>
        <w:t>2023年9月1日</w:t>
      </w:r>
      <w:r>
        <w:rPr>
          <w:rFonts w:cs="宋体"/>
          <w:color w:val="000000"/>
        </w:rPr>
        <w:t>毕业生的</w:t>
      </w:r>
      <w:r>
        <w:rPr>
          <w:rFonts w:hint="eastAsia" w:cs="宋体"/>
          <w:color w:val="000000"/>
          <w:lang w:eastAsia="zh-CN"/>
        </w:rPr>
        <w:t>读研率</w:t>
      </w:r>
      <w:bookmarkEnd w:id="27"/>
    </w:p>
    <w:p>
      <w:pPr>
        <w:pStyle w:val="165"/>
        <w:spacing w:line="360" w:lineRule="auto"/>
        <w:rPr>
          <w:rFonts w:cs="宋体"/>
          <w:color w:val="006699"/>
        </w:rPr>
        <w:sectPr>
          <w:footnotePr>
            <w:numRestart w:val="eachPage"/>
          </w:footnotePr>
          <w:pgSz w:w="11906" w:h="16838"/>
          <w:pgMar w:top="1984" w:right="1531" w:bottom="1701" w:left="1701" w:header="992" w:footer="850" w:gutter="0"/>
          <w:cols w:space="708" w:num="1"/>
          <w:docGrid w:linePitch="360" w:charSpace="0"/>
        </w:sectPr>
      </w:pPr>
      <w:r>
        <w:rPr>
          <w:rFonts w:hint="eastAsia" w:cs="宋体"/>
          <w:color w:val="000000"/>
        </w:rPr>
        <w:t>数据来源：天津市高校毕业生就业管理系统</w:t>
      </w:r>
    </w:p>
    <w:p>
      <w:p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70528" behindDoc="0" locked="0" layoutInCell="1" allowOverlap="1">
                <wp:simplePos x="0" y="0"/>
                <wp:positionH relativeFrom="page">
                  <wp:posOffset>295275</wp:posOffset>
                </wp:positionH>
                <wp:positionV relativeFrom="page">
                  <wp:posOffset>4532630</wp:posOffset>
                </wp:positionV>
                <wp:extent cx="3888105" cy="460375"/>
                <wp:effectExtent l="0" t="0" r="0" b="0"/>
                <wp:wrapNone/>
                <wp:docPr id="1275718969" name="Rectangle 100004"/>
                <wp:cNvGraphicFramePr/>
                <a:graphic xmlns:a="http://schemas.openxmlformats.org/drawingml/2006/main">
                  <a:graphicData uri="http://schemas.microsoft.com/office/word/2010/wordprocessingShape">
                    <wps:wsp>
                      <wps:cNvSpPr>
                        <a:spLocks noChangeArrowheads="1"/>
                      </wps:cNvSpPr>
                      <wps:spPr bwMode="auto">
                        <a:xfrm>
                          <a:off x="0" y="0"/>
                          <a:ext cx="3888105"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23.25pt;margin-top:356.9pt;height:36.25pt;width:306.15pt;mso-position-horizontal-relative:page;mso-position-vertical-relative:page;z-index:251670528;v-text-anchor:middle;mso-width-relative:page;mso-height-relative:page;" fillcolor="#579DC2" filled="t" stroked="f" coordsize="21600,21600" o:gfxdata="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gJL&#10;Q9oAAAAKAQAADwAAAAAAAAABACAAAAAiAAAAZHJzL2Rvd25yZXYueG1sUEsBAhQAFAAAAAgAh07i&#10;QEatyB8gAgAAOQQAAA4AAAAAAAAAAQAgAAAAKQEAAGRycy9lMm9Eb2MueG1sUEsFBgAAAAAGAAYA&#10;WQEAALsFAAAAAA==&#10;">
                <v:fill on="t" focussize="0,0"/>
                <v:stroke on="f"/>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page">
                  <wp:posOffset>320675</wp:posOffset>
                </wp:positionH>
                <wp:positionV relativeFrom="page">
                  <wp:posOffset>3888105</wp:posOffset>
                </wp:positionV>
                <wp:extent cx="3887470" cy="1080135"/>
                <wp:effectExtent l="0" t="1905" r="1905" b="3810"/>
                <wp:wrapNone/>
                <wp:docPr id="130194804"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3887470"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就业主要特点</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25.25pt;margin-top:306.15pt;height:85.05pt;width:306.1pt;mso-position-horizontal-relative:page;mso-position-vertical-relative:page;z-index:251671552;mso-width-relative:page;mso-height-relative:page;" filled="f" stroked="f" coordsize="21600,21600" o:gfxdata="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MqRfYAAAACgEAAA8AAAAAAAAA&#10;AQAgAAAAIgAAAGRycy9kb3ducmV2LnhtbFBLAQIUABQAAAAIAIdO4kB6ciptEQIAACEEAAAOAAAA&#10;AAAAAAEAIAAAACcBAABkcnMvZTJvRG9jLnhtbFBLBQYAAAAABgAGAFkBAACqBQ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就业主要特点</w:t>
                      </w:r>
                    </w:p>
                  </w:txbxContent>
                </v:textbox>
              </v:shape>
            </w:pict>
          </mc:Fallback>
        </mc:AlternateContent>
      </w:r>
      <w: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310" cy="10692130"/>
            <wp:effectExtent l="0" t="0" r="0" b="0"/>
            <wp:wrapNone/>
            <wp:docPr id="9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8"/>
        <w:numPr>
          <w:ilvl w:val="1"/>
          <w:numId w:val="12"/>
        </w:numPr>
        <w:ind w:left="0" w:firstLine="0"/>
        <w:jc w:val="center"/>
        <w:rPr>
          <w:rFonts w:cs="宋体"/>
          <w:color w:val="006699"/>
        </w:rPr>
      </w:pPr>
      <w:bookmarkStart w:id="28" w:name="_Toc153811514"/>
      <w:bookmarkStart w:id="29" w:name="_Toc153811565"/>
      <w:r>
        <w:rPr>
          <w:rFonts w:cs="宋体"/>
          <w:color w:val="006699"/>
        </w:rPr>
        <w:t>就业主要特点</w:t>
      </w:r>
      <w:bookmarkEnd w:id="28"/>
      <w:bookmarkEnd w:id="29"/>
    </w:p>
    <w:p>
      <w:pPr>
        <w:pStyle w:val="164"/>
        <w:spacing w:line="360" w:lineRule="auto"/>
        <w:ind w:firstLine="420"/>
        <w:jc w:val="both"/>
        <w:rPr>
          <w:rFonts w:cs="宋体"/>
          <w:color w:val="000000"/>
          <w:lang w:val="en-US" w:eastAsia="zh-CN" w:bidi="ar-SA"/>
        </w:rPr>
      </w:pPr>
      <w:r>
        <w:rPr>
          <w:rFonts w:cs="宋体"/>
          <w:b/>
          <w:color w:val="006699"/>
          <w:sz w:val="44"/>
        </w:rPr>
        <w:drawing>
          <wp:anchor distT="0" distB="0" distL="114300" distR="114300" simplePos="0" relativeHeight="251673600" behindDoc="1" locked="0" layoutInCell="1" allowOverlap="1">
            <wp:simplePos x="0" y="0"/>
            <wp:positionH relativeFrom="margin">
              <wp:posOffset>756285</wp:posOffset>
            </wp:positionH>
            <wp:positionV relativeFrom="margin">
              <wp:posOffset>-179705</wp:posOffset>
            </wp:positionV>
            <wp:extent cx="589915" cy="619125"/>
            <wp:effectExtent l="0" t="0" r="0" b="0"/>
            <wp:wrapNone/>
            <wp:docPr id="9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9915" cy="619125"/>
                    </a:xfrm>
                    <a:prstGeom prst="rect">
                      <a:avLst/>
                    </a:prstGeom>
                    <a:noFill/>
                  </pic:spPr>
                </pic:pic>
              </a:graphicData>
            </a:graphic>
          </wp:anchor>
        </w:drawing>
      </w:r>
      <w:r>
        <w:rPr>
          <w:rFonts w:cs="宋体"/>
          <w:color w:val="000000"/>
          <w:lang w:val="en-US" w:eastAsia="zh-CN" w:bidi="ar-SA"/>
        </w:rPr>
        <w:t>本章主要呈现我校促进</w:t>
      </w:r>
      <w:r>
        <w:rPr>
          <w:rFonts w:hint="eastAsia" w:cs="宋体"/>
          <w:color w:val="000000"/>
          <w:lang w:val="en-US" w:eastAsia="zh-CN" w:bidi="ar-SA"/>
        </w:rPr>
        <w:t>本科</w:t>
      </w:r>
      <w:r>
        <w:rPr>
          <w:rFonts w:cs="宋体"/>
          <w:color w:val="000000"/>
          <w:lang w:val="en-US" w:eastAsia="zh-CN" w:bidi="ar-SA"/>
        </w:rPr>
        <w:t>毕业生就业的政策措施，并通过了解毕业生求职周期、求职成本等求职过程特点，以及毕业生对就业服务工作、创新创业教育的反馈，进一步提升就业创业工作质量。</w:t>
      </w:r>
    </w:p>
    <w:p>
      <w:pPr>
        <w:pStyle w:val="164"/>
        <w:spacing w:line="348" w:lineRule="auto"/>
        <w:ind w:firstLine="420"/>
        <w:jc w:val="both"/>
        <w:rPr>
          <w:rFonts w:cs="宋体"/>
          <w:color w:val="000000"/>
          <w:lang w:val="zh-CN" w:eastAsia="zh-CN" w:bidi="ar-SA"/>
        </w:rPr>
      </w:pPr>
      <w:r>
        <w:rPr>
          <w:rFonts w:hint="eastAsia" w:cs="宋体"/>
          <w:color w:val="000000"/>
        </w:rPr>
        <w:t>数据来源于麦可思</w:t>
      </w:r>
      <w:r>
        <w:rPr>
          <w:rFonts w:cs="宋体"/>
          <w:color w:val="000000"/>
        </w:rPr>
        <w:t>-</w:t>
      </w:r>
      <w:r>
        <w:rPr>
          <w:rFonts w:hint="eastAsia" w:cs="宋体"/>
          <w:color w:val="000000"/>
        </w:rPr>
        <w:t>天津中医药大学</w:t>
      </w:r>
      <w:r>
        <w:rPr>
          <w:rFonts w:cs="宋体"/>
          <w:color w:val="000000"/>
        </w:rPr>
        <w:t>2023</w:t>
      </w:r>
      <w:r>
        <w:rPr>
          <w:rFonts w:hint="eastAsia" w:cs="宋体"/>
          <w:color w:val="000000"/>
        </w:rPr>
        <w:t>届本科毕业生培养质量评价数据。调查面向全校</w:t>
      </w:r>
      <w:r>
        <w:rPr>
          <w:rFonts w:cs="宋体"/>
          <w:color w:val="000000"/>
        </w:rPr>
        <w:t>2023</w:t>
      </w:r>
      <w:r>
        <w:rPr>
          <w:rFonts w:hint="eastAsia" w:cs="宋体"/>
          <w:color w:val="000000"/>
        </w:rPr>
        <w:t>届本科毕业生</w:t>
      </w:r>
      <w:r>
        <w:rPr>
          <w:rFonts w:hint="eastAsia" w:cs="宋体"/>
          <w:color w:val="000000"/>
          <w:szCs w:val="60"/>
        </w:rPr>
        <w:t>，截至</w:t>
      </w:r>
      <w:r>
        <w:rPr>
          <w:rFonts w:cs="宋体"/>
          <w:color w:val="000000"/>
          <w:szCs w:val="60"/>
        </w:rPr>
        <w:t>2023</w:t>
      </w:r>
      <w:r>
        <w:rPr>
          <w:rFonts w:hint="eastAsia" w:cs="宋体"/>
          <w:color w:val="000000"/>
          <w:szCs w:val="60"/>
        </w:rPr>
        <w:t>年</w:t>
      </w:r>
      <w:r>
        <w:rPr>
          <w:rFonts w:cs="宋体"/>
          <w:color w:val="000000"/>
          <w:szCs w:val="60"/>
        </w:rPr>
        <w:t>12</w:t>
      </w:r>
      <w:r>
        <w:rPr>
          <w:rFonts w:hint="eastAsia" w:cs="宋体"/>
          <w:color w:val="000000"/>
          <w:szCs w:val="60"/>
        </w:rPr>
        <w:t>月</w:t>
      </w:r>
      <w:r>
        <w:rPr>
          <w:rFonts w:cs="宋体"/>
          <w:color w:val="000000"/>
          <w:szCs w:val="60"/>
        </w:rPr>
        <w:t>1</w:t>
      </w:r>
      <w:r>
        <w:rPr>
          <w:rFonts w:hint="eastAsia" w:cs="宋体"/>
          <w:color w:val="000000"/>
          <w:szCs w:val="60"/>
        </w:rPr>
        <w:t>日，共回收有效问卷</w:t>
      </w:r>
      <w:r>
        <w:rPr>
          <w:rFonts w:cs="宋体"/>
          <w:color w:val="000000"/>
          <w:szCs w:val="60"/>
        </w:rPr>
        <w:t>1533</w:t>
      </w:r>
      <w:r>
        <w:rPr>
          <w:rFonts w:hint="eastAsia" w:cs="宋体"/>
          <w:color w:val="000000"/>
          <w:szCs w:val="60"/>
        </w:rPr>
        <w:t>份，回收问卷数量占毕业生总人数的</w:t>
      </w:r>
      <w:r>
        <w:rPr>
          <w:color w:val="000000"/>
          <w:szCs w:val="21"/>
        </w:rPr>
        <w:t>59.2%</w:t>
      </w:r>
      <w:r>
        <w:rPr>
          <w:rFonts w:hint="eastAsia" w:cs="宋体"/>
          <w:color w:val="000000"/>
          <w:szCs w:val="60"/>
        </w:rPr>
        <w:t>，</w:t>
      </w:r>
      <w:r>
        <w:rPr>
          <w:rFonts w:hint="eastAsia" w:cs="宋体"/>
          <w:color w:val="000000"/>
        </w:rPr>
        <w:t>由于调研口径、调研参与率等因素，与学校初次毕业去向落实率截点的统计有一定的差异</w:t>
      </w:r>
      <w:r>
        <w:rPr>
          <w:rFonts w:hint="eastAsia" w:cs="宋体"/>
          <w:color w:val="000000"/>
          <w:lang w:val="en-US" w:eastAsia="zh-CN" w:bidi="ar-SA"/>
        </w:rPr>
        <w:t>。</w:t>
      </w:r>
    </w:p>
    <w:p>
      <w:pPr>
        <w:pStyle w:val="34"/>
        <w:ind w:firstLine="420"/>
        <w:rPr>
          <w:lang w:val="en-US" w:eastAsia="zh-CN" w:bidi="ar-SA"/>
        </w:rPr>
      </w:pPr>
      <w:r>
        <w:rPr>
          <w:rFonts w:hint="eastAsia" w:cs="宋体"/>
          <w:color w:val="000000"/>
          <w:lang w:val="en-US" w:eastAsia="zh-CN" w:bidi="ar-SA"/>
        </w:rPr>
        <w:t>学校的就业工作较好地促进了毕业生的毕业落实。</w:t>
      </w:r>
      <w:r>
        <w:rPr>
          <w:rFonts w:hint="eastAsia" w:cs="宋体"/>
          <w:color w:val="000000"/>
          <w:lang w:val="en-US" w:bidi="ar-SA"/>
        </w:rPr>
        <w:t>我校</w:t>
      </w:r>
      <w:r>
        <w:rPr>
          <w:rFonts w:hint="eastAsia" w:cs="宋体"/>
          <w:color w:val="000000"/>
          <w:lang w:val="en-US" w:eastAsia="zh-CN" w:bidi="ar-SA"/>
        </w:rPr>
        <w:t>202</w:t>
      </w:r>
      <w:r>
        <w:rPr>
          <w:rFonts w:cs="宋体"/>
          <w:color w:val="000000"/>
          <w:lang w:val="en-US" w:eastAsia="zh-CN" w:bidi="ar-SA"/>
        </w:rPr>
        <w:t>3</w:t>
      </w:r>
      <w:r>
        <w:rPr>
          <w:rFonts w:hint="eastAsia" w:cs="宋体"/>
          <w:color w:val="000000"/>
          <w:lang w:val="en-US" w:eastAsia="zh-CN" w:bidi="ar-SA"/>
        </w:rPr>
        <w:t>届本科毕业生</w:t>
      </w:r>
      <w:r>
        <w:rPr>
          <w:rFonts w:cs="宋体"/>
          <w:color w:val="000000"/>
          <w:lang w:val="en-US" w:eastAsia="zh-CN" w:bidi="ar-SA"/>
        </w:rPr>
        <w:t>平均收到面试机会4.4次，平均收到录用通知数为2.3份</w:t>
      </w:r>
      <w:r>
        <w:rPr>
          <w:rFonts w:hint="eastAsia" w:cs="宋体"/>
          <w:color w:val="000000"/>
          <w:lang w:val="en-US" w:eastAsia="zh-CN" w:bidi="ar-SA"/>
        </w:rPr>
        <w:t>；九成以上（</w:t>
      </w:r>
      <w:r>
        <w:rPr>
          <w:rFonts w:hint="eastAsia" w:cs="宋体"/>
          <w:color w:val="000000"/>
          <w:lang w:val="en-US" w:bidi="ar-SA"/>
        </w:rPr>
        <w:t>9</w:t>
      </w:r>
      <w:r>
        <w:rPr>
          <w:rFonts w:cs="宋体"/>
          <w:color w:val="000000"/>
          <w:lang w:val="en-US" w:bidi="ar-SA"/>
        </w:rPr>
        <w:t>1%</w:t>
      </w:r>
      <w:r>
        <w:rPr>
          <w:rFonts w:hint="eastAsia" w:cs="宋体"/>
          <w:color w:val="000000"/>
          <w:lang w:val="en-US" w:eastAsia="zh-CN" w:bidi="ar-SA"/>
        </w:rPr>
        <w:t>）的本科毕业生对就业服务工作表示满意，接受的就业指导服务主要是</w:t>
      </w:r>
      <w:r>
        <w:rPr>
          <w:rFonts w:hint="eastAsia" w:ascii="宋体" w:hAnsi="宋体" w:cs="宋体"/>
          <w:color w:val="000000"/>
          <w:lang w:val="en-US" w:eastAsia="zh-CN" w:bidi="ar-SA"/>
        </w:rPr>
        <w:t>“大学组织的线下招聘会”</w:t>
      </w:r>
      <w:r>
        <w:rPr>
          <w:rFonts w:hint="eastAsia" w:cs="宋体"/>
          <w:color w:val="000000"/>
          <w:lang w:val="en-US" w:eastAsia="zh-CN" w:bidi="ar-SA"/>
        </w:rPr>
        <w:t>（</w:t>
      </w:r>
      <w:r>
        <w:rPr>
          <w:rFonts w:hint="eastAsia" w:cs="宋体"/>
          <w:color w:val="000000"/>
          <w:lang w:val="en-US" w:bidi="ar-SA"/>
        </w:rPr>
        <w:t>5</w:t>
      </w:r>
      <w:r>
        <w:rPr>
          <w:rFonts w:cs="宋体"/>
          <w:color w:val="000000"/>
          <w:lang w:val="en-US" w:bidi="ar-SA"/>
        </w:rPr>
        <w:t>8%</w:t>
      </w:r>
      <w:r>
        <w:rPr>
          <w:rFonts w:cs="宋体"/>
          <w:color w:val="000000"/>
          <w:lang w:val="en-US" w:eastAsia="zh-CN" w:bidi="ar-SA"/>
        </w:rPr>
        <w:t>）</w:t>
      </w:r>
      <w:r>
        <w:rPr>
          <w:rFonts w:hint="eastAsia" w:cs="宋体"/>
          <w:color w:val="000000"/>
          <w:lang w:val="en-US" w:eastAsia="zh-CN" w:bidi="ar-SA"/>
        </w:rPr>
        <w:t>，其有效性</w:t>
      </w:r>
      <w:r>
        <w:rPr>
          <w:rFonts w:cs="宋体"/>
          <w:color w:val="000000"/>
          <w:lang w:val="en-US" w:eastAsia="zh-CN" w:bidi="ar-SA"/>
        </w:rPr>
        <w:t>为74%</w:t>
      </w:r>
      <w:r>
        <w:rPr>
          <w:rFonts w:hint="eastAsia" w:cs="宋体"/>
          <w:color w:val="000000"/>
          <w:lang w:val="en-US" w:eastAsia="zh-CN" w:bidi="ar-SA"/>
        </w:rPr>
        <w:t>；创新创业教育方面，毕业生参与创新创业课程</w:t>
      </w:r>
      <w:r>
        <w:rPr>
          <w:rFonts w:cs="宋体"/>
          <w:color w:val="000000"/>
          <w:lang w:val="en-US" w:eastAsia="zh-CN" w:bidi="ar-SA"/>
        </w:rPr>
        <w:t>比例较高，</w:t>
      </w:r>
      <w:r>
        <w:rPr>
          <w:rFonts w:hint="eastAsia" w:cs="宋体"/>
          <w:color w:val="000000"/>
          <w:lang w:val="en-US" w:eastAsia="zh-CN" w:bidi="ar-SA"/>
        </w:rPr>
        <w:t>而创新创业实践活动及竞赛</w:t>
      </w:r>
      <w:r>
        <w:rPr>
          <w:rFonts w:hint="eastAsia" w:cs="宋体"/>
          <w:color w:val="000000"/>
          <w:lang w:val="en-US" w:bidi="ar-SA"/>
        </w:rPr>
        <w:t>/训练</w:t>
      </w:r>
      <w:r>
        <w:rPr>
          <w:rFonts w:hint="eastAsia" w:cs="宋体"/>
          <w:color w:val="000000"/>
          <w:lang w:val="en-US" w:eastAsia="zh-CN" w:bidi="ar-SA"/>
        </w:rPr>
        <w:t>开展效果相对更好。</w:t>
      </w:r>
    </w:p>
    <w:p>
      <w:pPr>
        <w:pStyle w:val="159"/>
        <w:keepNext w:val="0"/>
        <w:widowControl/>
        <w:numPr>
          <w:ilvl w:val="2"/>
          <w:numId w:val="12"/>
        </w:numPr>
        <w:spacing w:before="120" w:after="120"/>
        <w:ind w:left="0"/>
        <w:rPr>
          <w:rFonts w:cs="宋体"/>
          <w:color w:val="006699"/>
        </w:rPr>
      </w:pPr>
      <w:bookmarkStart w:id="30" w:name="_Toc153811515"/>
      <w:r>
        <w:rPr>
          <w:rFonts w:cs="宋体"/>
          <w:color w:val="006699"/>
        </w:rPr>
        <w:drawing>
          <wp:anchor distT="0" distB="0" distL="114300" distR="114300" simplePos="0" relativeHeight="251674624" behindDoc="1" locked="0" layoutInCell="1" allowOverlap="1">
            <wp:simplePos x="0" y="0"/>
            <wp:positionH relativeFrom="column">
              <wp:posOffset>551815</wp:posOffset>
            </wp:positionH>
            <wp:positionV relativeFrom="paragraph">
              <wp:posOffset>36195</wp:posOffset>
            </wp:positionV>
            <wp:extent cx="471170" cy="334645"/>
            <wp:effectExtent l="0" t="0" r="0" b="0"/>
            <wp:wrapNone/>
            <wp:docPr id="9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1170" cy="334645"/>
                    </a:xfrm>
                    <a:prstGeom prst="rect">
                      <a:avLst/>
                    </a:prstGeom>
                    <a:noFill/>
                  </pic:spPr>
                </pic:pic>
              </a:graphicData>
            </a:graphic>
          </wp:anchor>
        </w:drawing>
      </w:r>
      <w:r>
        <w:rPr>
          <w:rFonts w:cs="宋体"/>
          <w:color w:val="006699"/>
        </w:rPr>
        <w:t>促进毕业生就业的政策措施</w:t>
      </w:r>
      <w:bookmarkEnd w:id="30"/>
    </w:p>
    <w:p>
      <w:pPr>
        <w:ind w:firstLine="420"/>
        <w:rPr>
          <w:rFonts w:hint="eastAsia" w:hAnsi="宋体" w:cs="宋体"/>
          <w:szCs w:val="21"/>
        </w:rPr>
      </w:pPr>
      <w:r>
        <w:rPr>
          <w:rFonts w:hint="eastAsia" w:hAnsi="宋体" w:cs="宋体"/>
          <w:szCs w:val="21"/>
        </w:rPr>
        <w:t>天津中医药大学全面落实党中央、国务院、天津市对高校毕业生就业工作的决策部署，千方百计促进2023届本科毕业生多渠道就业，更加充分和更高质量就业。</w:t>
      </w:r>
      <w:r>
        <w:rPr>
          <w:rFonts w:hint="eastAsia" w:hAnsi="宋体" w:cs="宋体"/>
          <w:szCs w:val="21"/>
          <w:lang w:val="en-US" w:eastAsia="zh-CN" w:bidi="ar-SA"/>
        </w:rPr>
        <w:t>现将我校202</w:t>
      </w:r>
      <w:r>
        <w:rPr>
          <w:rFonts w:hAnsi="宋体" w:cs="宋体"/>
          <w:szCs w:val="21"/>
          <w:lang w:val="en-US" w:eastAsia="zh-CN" w:bidi="ar-SA"/>
        </w:rPr>
        <w:t>3</w:t>
      </w:r>
      <w:r>
        <w:rPr>
          <w:rFonts w:hint="eastAsia" w:hAnsi="宋体" w:cs="宋体"/>
          <w:szCs w:val="21"/>
          <w:lang w:val="en-US" w:eastAsia="zh-CN" w:bidi="ar-SA"/>
        </w:rPr>
        <w:t>年就业工作总结如下：</w:t>
      </w:r>
    </w:p>
    <w:p>
      <w:pPr>
        <w:pStyle w:val="160"/>
        <w:numPr>
          <w:ilvl w:val="3"/>
          <w:numId w:val="12"/>
        </w:numPr>
        <w:spacing w:before="120" w:after="120"/>
        <w:rPr>
          <w:rFonts w:hint="eastAsia" w:cs="宋体"/>
          <w:color w:val="006699"/>
        </w:rPr>
      </w:pPr>
      <w:bookmarkStart w:id="31" w:name="_Toc153811516"/>
      <w:r>
        <w:rPr>
          <w:rFonts w:hint="eastAsia" w:cs="宋体"/>
          <w:color w:val="006699"/>
        </w:rPr>
        <w:t>深化落实上下联动，加强就业工作组织领导</w:t>
      </w:r>
      <w:bookmarkEnd w:id="31"/>
    </w:p>
    <w:p>
      <w:pPr>
        <w:ind w:firstLine="420"/>
        <w:rPr>
          <w:rFonts w:hint="eastAsia" w:ascii="仿宋_GB2312" w:hAnsi="宋体" w:eastAsia="仿宋_GB2312" w:cs="宋体"/>
          <w:kern w:val="0"/>
          <w:sz w:val="32"/>
          <w:szCs w:val="32"/>
        </w:rPr>
      </w:pPr>
      <w:r>
        <w:rPr>
          <w:rFonts w:hint="eastAsia" w:cs="宋体"/>
          <w:b/>
          <w:color w:val="006699"/>
          <w:kern w:val="0"/>
          <w:szCs w:val="20"/>
          <w:lang w:val="en-US" w:eastAsia="zh-CN" w:bidi="ar-SA"/>
        </w:rPr>
        <w:t>1.落实就业</w:t>
      </w:r>
      <w:r>
        <w:rPr>
          <w:rFonts w:ascii="宋体" w:hAnsi="宋体" w:cs="宋体"/>
          <w:b/>
          <w:color w:val="006699"/>
          <w:kern w:val="0"/>
          <w:szCs w:val="20"/>
          <w:lang w:val="en-US" w:eastAsia="zh-CN" w:bidi="ar-SA"/>
        </w:rPr>
        <w:t>“</w:t>
      </w:r>
      <w:r>
        <w:rPr>
          <w:rFonts w:cs="宋体"/>
          <w:b/>
          <w:color w:val="006699"/>
          <w:kern w:val="0"/>
          <w:szCs w:val="20"/>
          <w:lang w:val="en-US" w:eastAsia="zh-CN" w:bidi="ar-SA"/>
        </w:rPr>
        <w:t>一把手</w:t>
      </w:r>
      <w:r>
        <w:rPr>
          <w:rFonts w:ascii="宋体" w:hAnsi="宋体" w:cs="宋体"/>
          <w:b/>
          <w:color w:val="006699"/>
          <w:kern w:val="0"/>
          <w:szCs w:val="20"/>
          <w:lang w:val="en-US" w:eastAsia="zh-CN" w:bidi="ar-SA"/>
        </w:rPr>
        <w:t>”</w:t>
      </w:r>
      <w:r>
        <w:rPr>
          <w:rFonts w:cs="宋体"/>
          <w:b/>
          <w:color w:val="006699"/>
          <w:kern w:val="0"/>
          <w:szCs w:val="20"/>
          <w:lang w:val="en-US" w:eastAsia="zh-CN" w:bidi="ar-SA"/>
        </w:rPr>
        <w:t>工程。</w:t>
      </w:r>
      <w:r>
        <w:rPr>
          <w:rFonts w:hint="eastAsia" w:hAnsi="宋体" w:cs="宋体"/>
          <w:szCs w:val="32"/>
        </w:rPr>
        <w:t>学校始终</w:t>
      </w:r>
      <w:r>
        <w:rPr>
          <w:rFonts w:hAnsi="宋体" w:cs="宋体"/>
          <w:szCs w:val="32"/>
        </w:rPr>
        <w:t>把就业</w:t>
      </w:r>
      <w:r>
        <w:rPr>
          <w:rFonts w:hint="eastAsia" w:hAnsi="宋体" w:cs="宋体"/>
          <w:szCs w:val="32"/>
        </w:rPr>
        <w:t>工作</w:t>
      </w:r>
      <w:r>
        <w:rPr>
          <w:rFonts w:hAnsi="宋体" w:cs="宋体"/>
          <w:szCs w:val="32"/>
        </w:rPr>
        <w:t>摆在突出位置，列入领导班子重要议事日程，建立健全</w:t>
      </w:r>
      <w:r>
        <w:rPr>
          <w:rFonts w:hint="eastAsia" w:hAnsi="宋体" w:cs="宋体"/>
          <w:szCs w:val="32"/>
        </w:rPr>
        <w:t>主要负责同志亲自部署，分管同志靠前指挥，各教研室协同推进、全员参与的工作机制。进一步强化就业工作的组织领导，把促进毕业生更充分就业更高质量就业作为重要政治责任，落实就业工作二级学院书记、院长责任制，各教研室教师要通力合作，参与就业工作，辅导员（班主任、导师）密切追踪每一名毕业生就业进展情况，进一步推进</w:t>
      </w:r>
      <w:r>
        <w:rPr>
          <w:rFonts w:hint="eastAsia" w:ascii="宋体" w:hAnsi="宋体" w:cs="宋体"/>
          <w:szCs w:val="32"/>
        </w:rPr>
        <w:t>“</w:t>
      </w:r>
      <w:r>
        <w:rPr>
          <w:rFonts w:hint="eastAsia" w:hAnsi="宋体" w:cs="宋体"/>
          <w:szCs w:val="32"/>
        </w:rPr>
        <w:t>周沟通月研讨</w:t>
      </w:r>
      <w:r>
        <w:rPr>
          <w:rFonts w:hint="eastAsia" w:ascii="宋体" w:hAnsi="宋体" w:cs="宋体"/>
          <w:szCs w:val="32"/>
        </w:rPr>
        <w:t>”</w:t>
      </w:r>
      <w:r>
        <w:rPr>
          <w:rFonts w:hint="eastAsia" w:hAnsi="宋体" w:cs="宋体"/>
          <w:szCs w:val="32"/>
        </w:rPr>
        <w:t>机制。</w:t>
      </w:r>
    </w:p>
    <w:p>
      <w:pPr>
        <w:widowControl/>
        <w:kinsoku w:val="0"/>
        <w:autoSpaceDE w:val="0"/>
        <w:autoSpaceDN w:val="0"/>
        <w:adjustRightInd w:val="0"/>
        <w:snapToGrid w:val="0"/>
        <w:ind w:firstLine="420"/>
        <w:textAlignment w:val="baseline"/>
        <w:rPr>
          <w:rFonts w:hAnsi="宋体" w:cs="宋体"/>
          <w:szCs w:val="32"/>
        </w:rPr>
      </w:pPr>
      <w:r>
        <w:rPr>
          <w:rFonts w:hint="eastAsia" w:cs="宋体"/>
          <w:b/>
          <w:color w:val="006699"/>
          <w:kern w:val="0"/>
          <w:szCs w:val="20"/>
          <w:lang w:val="en-US" w:eastAsia="zh-CN" w:bidi="ar-SA"/>
        </w:rPr>
        <w:t>2.</w:t>
      </w:r>
      <w:r>
        <w:rPr>
          <w:rFonts w:cs="宋体"/>
          <w:b/>
          <w:color w:val="006699"/>
          <w:kern w:val="0"/>
          <w:szCs w:val="20"/>
          <w:lang w:val="en-US" w:eastAsia="zh-CN" w:bidi="ar-SA"/>
        </w:rPr>
        <w:t>统筹就业工作安排。</w:t>
      </w:r>
      <w:r>
        <w:rPr>
          <w:rFonts w:hint="eastAsia" w:hAnsi="宋体" w:cs="宋体"/>
          <w:szCs w:val="32"/>
        </w:rPr>
        <w:t>学校进一步明确就业工作的目标和任务，统筹部署、精心谋划，制定切实可行的工作方案，做好任务分解，责任到人，多措并举，狠抓落实，扎实推进就业各项工作落实做细。建立全员参与、全年开展、人人关心的就业工作良好氛围，做到情况清、底数明，针对具体工作实施</w:t>
      </w:r>
      <w:r>
        <w:rPr>
          <w:rFonts w:hint="eastAsia" w:ascii="宋体" w:hAnsi="宋体" w:cs="宋体"/>
          <w:szCs w:val="32"/>
        </w:rPr>
        <w:t>“</w:t>
      </w:r>
      <w:r>
        <w:rPr>
          <w:rFonts w:hint="eastAsia" w:hAnsi="宋体" w:cs="宋体"/>
          <w:szCs w:val="32"/>
        </w:rPr>
        <w:t>一院一策</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一类一策</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一生一策</w:t>
      </w:r>
      <w:r>
        <w:rPr>
          <w:rFonts w:hint="eastAsia" w:ascii="宋体" w:hAnsi="宋体" w:cs="宋体"/>
          <w:szCs w:val="32"/>
        </w:rPr>
        <w:t>”</w:t>
      </w:r>
      <w:r>
        <w:rPr>
          <w:rFonts w:hint="eastAsia" w:hAnsi="宋体" w:cs="宋体"/>
          <w:szCs w:val="32"/>
        </w:rPr>
        <w:t>，抓好顶层设计和难点突破；明确时间表、任务书、路线图，挂图作战，倒排工期，确保在规定时点完成目标任务，实现8月30日全校毕业去向落实率超过85%。</w:t>
      </w:r>
    </w:p>
    <w:p>
      <w:pPr>
        <w:widowControl/>
        <w:kinsoku w:val="0"/>
        <w:autoSpaceDE w:val="0"/>
        <w:autoSpaceDN w:val="0"/>
        <w:adjustRightInd w:val="0"/>
        <w:snapToGrid w:val="0"/>
        <w:ind w:firstLine="420"/>
        <w:textAlignment w:val="baseline"/>
        <w:rPr>
          <w:rFonts w:hint="eastAsia" w:ascii="仿宋_GB2312" w:hAnsi="宋体" w:eastAsia="仿宋_GB2312" w:cs="宋体"/>
          <w:kern w:val="0"/>
          <w:sz w:val="32"/>
          <w:szCs w:val="32"/>
        </w:rPr>
      </w:pPr>
      <w:r>
        <w:rPr>
          <w:rFonts w:hint="eastAsia" w:cs="宋体"/>
          <w:b/>
          <w:color w:val="006699"/>
          <w:kern w:val="0"/>
          <w:szCs w:val="20"/>
          <w:lang w:val="en-US" w:eastAsia="zh-CN" w:bidi="ar-SA"/>
        </w:rPr>
        <w:t>3.压紧压实工作责任。</w:t>
      </w:r>
      <w:r>
        <w:rPr>
          <w:rFonts w:hint="eastAsia" w:hAnsi="宋体" w:cs="宋体"/>
          <w:szCs w:val="32"/>
        </w:rPr>
        <w:t>建立“三好三实”责任体系，实现就业指导服务工作的“七个全覆盖”。一是组织领导好，责任全压实；二是工作措施好，精准落实实；三是数据把好关，统计保真实。充分实现学院党政领导及教研室参与就业工作全覆盖；学院主要领导带头全体教师联系帮扶困难毕业生就业全覆盖；学院就业专职辅导员和毕业班辅导员熟悉政策全覆盖；学院负责学生政策普及全覆盖；学院与专业对口用人单位供需对接全覆盖；全体毕业生就业意愿摸底掌握全覆盖；每个困难毕业生精准岗位推荐全覆盖。就业数据统计要严守“四不准”和“三严禁”工作要求，校院两级主要领导签署“天津中医药大学2023年就业统计工作承诺书”。</w:t>
      </w:r>
    </w:p>
    <w:p>
      <w:pPr>
        <w:pStyle w:val="160"/>
        <w:numPr>
          <w:ilvl w:val="3"/>
          <w:numId w:val="12"/>
        </w:numPr>
        <w:spacing w:before="120" w:after="120"/>
        <w:rPr>
          <w:rFonts w:hint="eastAsia" w:cs="宋体"/>
          <w:color w:val="006699"/>
        </w:rPr>
      </w:pPr>
      <w:bookmarkStart w:id="32" w:name="_Toc153811517"/>
      <w:r>
        <w:rPr>
          <w:rFonts w:hint="eastAsia" w:cs="宋体"/>
          <w:color w:val="006699"/>
        </w:rPr>
        <w:t>深化推进长效机制，拓宽拓深就业渠道</w:t>
      </w:r>
      <w:bookmarkEnd w:id="32"/>
    </w:p>
    <w:p>
      <w:pPr>
        <w:widowControl/>
        <w:kinsoku w:val="0"/>
        <w:autoSpaceDE w:val="0"/>
        <w:autoSpaceDN w:val="0"/>
        <w:adjustRightInd w:val="0"/>
        <w:snapToGrid w:val="0"/>
        <w:ind w:firstLine="420"/>
        <w:textAlignment w:val="baseline"/>
        <w:rPr>
          <w:rFonts w:hint="eastAsia" w:ascii="仿宋_GB2312" w:hAnsi="宋体" w:eastAsia="仿宋_GB2312" w:cs="宋体"/>
          <w:kern w:val="0"/>
          <w:sz w:val="32"/>
          <w:szCs w:val="32"/>
        </w:rPr>
      </w:pPr>
      <w:r>
        <w:rPr>
          <w:rFonts w:cs="宋体"/>
          <w:b/>
          <w:color w:val="006699"/>
          <w:kern w:val="0"/>
          <w:szCs w:val="20"/>
          <w:lang w:val="en-US" w:eastAsia="zh-CN" w:bidi="ar-SA"/>
        </w:rPr>
        <w:t>1</w:t>
      </w:r>
      <w:r>
        <w:rPr>
          <w:rFonts w:hint="eastAsia" w:cs="宋体"/>
          <w:b/>
          <w:color w:val="006699"/>
          <w:kern w:val="0"/>
          <w:szCs w:val="20"/>
          <w:lang w:val="en-US" w:eastAsia="zh-CN" w:bidi="ar-SA"/>
        </w:rPr>
        <w:t>.持续开展</w:t>
      </w:r>
      <w:r>
        <w:rPr>
          <w:rFonts w:hint="eastAsia" w:ascii="宋体" w:hAnsi="宋体" w:cs="宋体"/>
          <w:b/>
          <w:color w:val="006699"/>
          <w:kern w:val="0"/>
          <w:szCs w:val="20"/>
          <w:lang w:val="en-US" w:eastAsia="zh-CN" w:bidi="ar-SA"/>
        </w:rPr>
        <w:t>“</w:t>
      </w:r>
      <w:r>
        <w:rPr>
          <w:rFonts w:hint="eastAsia" w:cs="宋体"/>
          <w:b/>
          <w:color w:val="006699"/>
          <w:kern w:val="0"/>
          <w:szCs w:val="20"/>
          <w:lang w:val="en-US" w:eastAsia="zh-CN" w:bidi="ar-SA"/>
        </w:rPr>
        <w:t>天津中医药大学书记校长访企拓岗促就业</w:t>
      </w:r>
      <w:r>
        <w:rPr>
          <w:rFonts w:hint="eastAsia" w:ascii="宋体" w:hAnsi="宋体" w:cs="宋体"/>
          <w:b/>
          <w:color w:val="006699"/>
          <w:kern w:val="0"/>
          <w:szCs w:val="20"/>
          <w:lang w:val="en-US" w:eastAsia="zh-CN" w:bidi="ar-SA"/>
        </w:rPr>
        <w:t>”</w:t>
      </w:r>
      <w:r>
        <w:rPr>
          <w:rFonts w:hint="eastAsia" w:cs="宋体"/>
          <w:b/>
          <w:color w:val="006699"/>
          <w:kern w:val="0"/>
          <w:szCs w:val="20"/>
          <w:lang w:val="en-US" w:eastAsia="zh-CN" w:bidi="ar-SA"/>
        </w:rPr>
        <w:t>专项行动。</w:t>
      </w:r>
      <w:r>
        <w:rPr>
          <w:rFonts w:hint="eastAsia" w:hAnsi="宋体" w:cs="宋体"/>
          <w:szCs w:val="32"/>
        </w:rPr>
        <w:t>建立校院两级联动机制，强化毕业生就业工作的主体责任，校院两级党政领导班子主动认领、任务到人，亲自抓、带好头、做示范，形成学校主导、学院主体、专业主责的工作格局，充分发挥研究生导师及对学生影响力较大的专业教师作用，协同推进访企拓岗促就业专项行动。校院两级主动走访对接企业和用人单位，充分调动教学、科研、校友等多方面资源，积极引导2023届毕业生扎根津城就业创业，2023年全校走访用人单位111家。</w:t>
      </w:r>
    </w:p>
    <w:p>
      <w:pPr>
        <w:ind w:firstLine="420"/>
        <w:rPr>
          <w:rFonts w:hint="eastAsia" w:ascii="仿宋_GB2312" w:hAnsi="宋体" w:eastAsia="仿宋_GB2312" w:cs="宋体"/>
          <w:kern w:val="0"/>
          <w:sz w:val="32"/>
          <w:szCs w:val="32"/>
        </w:rPr>
      </w:pPr>
      <w:r>
        <w:rPr>
          <w:rFonts w:cs="宋体"/>
          <w:b/>
          <w:color w:val="006699"/>
          <w:kern w:val="0"/>
          <w:szCs w:val="20"/>
          <w:lang w:val="en-US" w:eastAsia="zh-CN" w:bidi="ar-SA"/>
        </w:rPr>
        <w:t>2</w:t>
      </w:r>
      <w:r>
        <w:rPr>
          <w:rFonts w:hint="eastAsia" w:cs="宋体"/>
          <w:b/>
          <w:color w:val="006699"/>
          <w:kern w:val="0"/>
          <w:szCs w:val="20"/>
          <w:lang w:val="en-US" w:eastAsia="zh-CN" w:bidi="ar-SA"/>
        </w:rPr>
        <w:t>.发挥校园招聘主渠道作用。</w:t>
      </w:r>
      <w:r>
        <w:rPr>
          <w:rFonts w:hint="eastAsia" w:hAnsi="宋体" w:cs="宋体"/>
          <w:szCs w:val="32"/>
        </w:rPr>
        <w:t>深入落实</w:t>
      </w:r>
      <w:r>
        <w:rPr>
          <w:rFonts w:hint="eastAsia" w:ascii="宋体" w:hAnsi="宋体" w:cs="宋体"/>
          <w:szCs w:val="32"/>
        </w:rPr>
        <w:t>“</w:t>
      </w:r>
      <w:r>
        <w:rPr>
          <w:rFonts w:hint="eastAsia" w:hAnsi="宋体" w:cs="宋体"/>
          <w:szCs w:val="32"/>
        </w:rPr>
        <w:t>万企进校园计划</w:t>
      </w:r>
      <w:r>
        <w:rPr>
          <w:rFonts w:hint="eastAsia" w:ascii="宋体" w:hAnsi="宋体" w:cs="宋体"/>
          <w:szCs w:val="32"/>
        </w:rPr>
        <w:t>”</w:t>
      </w:r>
      <w:r>
        <w:rPr>
          <w:rFonts w:hint="eastAsia" w:hAnsi="宋体" w:cs="宋体"/>
          <w:szCs w:val="32"/>
        </w:rPr>
        <w:t>，广泛开展各级各类校园招聘活动。校院两级组织学生积极参与教育部</w:t>
      </w:r>
      <w:r>
        <w:rPr>
          <w:rFonts w:hint="eastAsia" w:ascii="宋体" w:hAnsi="宋体" w:cs="宋体"/>
          <w:szCs w:val="32"/>
        </w:rPr>
        <w:t>“</w:t>
      </w:r>
      <w:r>
        <w:rPr>
          <w:rFonts w:hint="eastAsia" w:hAnsi="宋体" w:cs="宋体"/>
          <w:szCs w:val="32"/>
        </w:rPr>
        <w:t>校园招聘月</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就业促进周</w:t>
      </w:r>
      <w:r>
        <w:rPr>
          <w:rFonts w:hint="eastAsia" w:ascii="宋体" w:hAnsi="宋体" w:cs="宋体"/>
          <w:szCs w:val="32"/>
        </w:rPr>
        <w:t>”</w:t>
      </w:r>
      <w:r>
        <w:rPr>
          <w:rFonts w:hint="eastAsia" w:hAnsi="宋体" w:cs="宋体"/>
          <w:szCs w:val="32"/>
        </w:rPr>
        <w:t>和天津市</w:t>
      </w:r>
      <w:r>
        <w:rPr>
          <w:rFonts w:hint="eastAsia" w:ascii="宋体" w:hAnsi="宋体" w:cs="宋体"/>
          <w:szCs w:val="32"/>
        </w:rPr>
        <w:t>“</w:t>
      </w:r>
      <w:r>
        <w:rPr>
          <w:rFonts w:hint="eastAsia" w:hAnsi="宋体" w:cs="宋体"/>
          <w:szCs w:val="32"/>
        </w:rPr>
        <w:t>津英就业</w:t>
      </w:r>
      <w:r>
        <w:rPr>
          <w:rFonts w:hint="eastAsia" w:ascii="宋体" w:hAnsi="宋体" w:cs="宋体"/>
          <w:szCs w:val="32"/>
        </w:rPr>
        <w:t>”</w:t>
      </w:r>
      <w:r>
        <w:rPr>
          <w:rFonts w:hint="eastAsia" w:hAnsi="宋体" w:cs="宋体"/>
          <w:szCs w:val="32"/>
        </w:rPr>
        <w:t>系列高校毕业生专场招聘等活动，积极举办校企对接会、人才接洽会、企业宣讲会等线下校园招聘活动，确保校园招聘活动有序开展。学校就业部门创造条件主动邀请用人单位进校招聘，举办区域性、行业性专场招聘活动，开展校级大型双选会和供需洽谈会，打造校级招聘品牌，同时结合专业特色开展学院招聘会，开展小而精、专而优的小型专场招聘活动。深入落实</w:t>
      </w:r>
      <w:r>
        <w:rPr>
          <w:rFonts w:hint="eastAsia" w:ascii="宋体" w:hAnsi="宋体" w:cs="宋体"/>
          <w:szCs w:val="32"/>
        </w:rPr>
        <w:t>“</w:t>
      </w:r>
      <w:r>
        <w:rPr>
          <w:rFonts w:hint="eastAsia" w:hAnsi="宋体" w:cs="宋体"/>
          <w:szCs w:val="32"/>
        </w:rPr>
        <w:t>天津中医药大学2023届毕业生春季促就业攻坚行动</w:t>
      </w:r>
      <w:r>
        <w:rPr>
          <w:rFonts w:hint="eastAsia" w:ascii="宋体" w:hAnsi="宋体" w:cs="宋体"/>
          <w:szCs w:val="32"/>
        </w:rPr>
        <w:t>”</w:t>
      </w:r>
      <w:r>
        <w:rPr>
          <w:rFonts w:hint="eastAsia" w:hAnsi="宋体" w:cs="宋体"/>
          <w:szCs w:val="32"/>
        </w:rPr>
        <w:t>，在2023年3月到5月招聘高峰期，校园两级每周至少举办2场招聘相关活动，营造了全校</w:t>
      </w:r>
      <w:r>
        <w:rPr>
          <w:rFonts w:hint="eastAsia" w:ascii="宋体" w:hAnsi="宋体" w:cs="宋体"/>
          <w:szCs w:val="32"/>
        </w:rPr>
        <w:t>“</w:t>
      </w:r>
      <w:r>
        <w:rPr>
          <w:rFonts w:hint="eastAsia" w:hAnsi="宋体" w:cs="宋体"/>
          <w:szCs w:val="32"/>
        </w:rPr>
        <w:t>周周有宣讲、月月有招聘、季季有专场</w:t>
      </w:r>
      <w:r>
        <w:rPr>
          <w:rFonts w:hint="eastAsia" w:ascii="宋体" w:hAnsi="宋体" w:cs="宋体"/>
          <w:szCs w:val="32"/>
        </w:rPr>
        <w:t>”</w:t>
      </w:r>
      <w:r>
        <w:rPr>
          <w:rFonts w:hint="eastAsia" w:hAnsi="宋体" w:cs="宋体"/>
          <w:szCs w:val="32"/>
        </w:rPr>
        <w:t>的就业氛围。</w:t>
      </w:r>
    </w:p>
    <w:p>
      <w:pPr>
        <w:ind w:firstLine="422" w:firstLineChars="200"/>
        <w:rPr>
          <w:rFonts w:hint="eastAsia" w:ascii="仿宋_GB2312" w:hAnsi="宋体" w:eastAsia="仿宋_GB2312" w:cs="宋体"/>
          <w:kern w:val="0"/>
          <w:sz w:val="32"/>
          <w:szCs w:val="32"/>
        </w:rPr>
      </w:pPr>
      <w:r>
        <w:rPr>
          <w:rFonts w:cs="宋体"/>
          <w:b/>
          <w:color w:val="006699"/>
          <w:kern w:val="0"/>
          <w:szCs w:val="20"/>
          <w:lang w:val="en-US" w:eastAsia="zh-CN" w:bidi="ar-SA"/>
        </w:rPr>
        <w:t>3</w:t>
      </w:r>
      <w:r>
        <w:rPr>
          <w:rFonts w:hint="eastAsia" w:cs="宋体"/>
          <w:b/>
          <w:color w:val="006699"/>
          <w:kern w:val="0"/>
          <w:szCs w:val="20"/>
          <w:lang w:val="en-US" w:eastAsia="zh-CN" w:bidi="ar-SA"/>
        </w:rPr>
        <w:t>.引导毕业生基层就业，支持自主创业和灵活就业。</w:t>
      </w:r>
      <w:r>
        <w:rPr>
          <w:rFonts w:hint="eastAsia" w:hAnsi="宋体" w:cs="宋体"/>
          <w:szCs w:val="32"/>
        </w:rPr>
        <w:t>进一步强化基层就业的宣传力度，加强政策宣讲，积极引导和鼓励毕业生到城乡基层、中小企业、中西部地区和艰苦边远地区就业。学校各相关部门组织并实施好2023年</w:t>
      </w:r>
      <w:r>
        <w:rPr>
          <w:rFonts w:hint="eastAsia" w:ascii="宋体" w:hAnsi="宋体" w:cs="宋体"/>
          <w:szCs w:val="32"/>
        </w:rPr>
        <w:t>“</w:t>
      </w:r>
      <w:r>
        <w:rPr>
          <w:rFonts w:hint="eastAsia" w:hAnsi="宋体" w:cs="宋体"/>
          <w:szCs w:val="32"/>
        </w:rPr>
        <w:t>三支一扶</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大学生村官</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大学生志愿服务西部计划</w:t>
      </w:r>
      <w:r>
        <w:rPr>
          <w:rFonts w:hint="eastAsia" w:ascii="宋体" w:hAnsi="宋体" w:cs="宋体"/>
          <w:szCs w:val="32"/>
        </w:rPr>
        <w:t>”</w:t>
      </w:r>
      <w:r>
        <w:rPr>
          <w:rFonts w:hint="eastAsia" w:hAnsi="宋体" w:cs="宋体"/>
          <w:szCs w:val="32"/>
        </w:rPr>
        <w:t>等基层就业项目的宣传发动和服务工作，以及一年两次的大学生征兵动员和征集工作，鼓励和支持毕业生到部队建功立业。遴选出一批具备育人特色、服务基层、奉献社会的典型代表，通过事迹宣讲等形式，引导毕业生投身西部、基层、艰苦边远地区和重点领域就业。校院两级积极鼓励和支持毕业生自主创业，为毕业生创新创业孵化、成果转化等提供服务，推动</w:t>
      </w:r>
      <w:r>
        <w:rPr>
          <w:rFonts w:hint="eastAsia" w:ascii="宋体" w:hAnsi="宋体" w:cs="宋体"/>
          <w:szCs w:val="32"/>
        </w:rPr>
        <w:t>“</w:t>
      </w:r>
      <w:r>
        <w:rPr>
          <w:rFonts w:hint="eastAsia" w:hAnsi="宋体" w:cs="宋体"/>
          <w:szCs w:val="32"/>
        </w:rPr>
        <w:t>互联网+</w:t>
      </w:r>
      <w:r>
        <w:rPr>
          <w:rFonts w:hint="eastAsia" w:ascii="宋体" w:hAnsi="宋体" w:cs="宋体"/>
          <w:szCs w:val="32"/>
        </w:rPr>
        <w:t>”</w:t>
      </w:r>
      <w:r>
        <w:rPr>
          <w:rFonts w:hint="eastAsia" w:hAnsi="宋体" w:cs="宋体"/>
          <w:szCs w:val="32"/>
        </w:rPr>
        <w:t>大学生创新创业大赛等大学生创业项目转化落地，引导毕业生到乡村干事创业，将专业知识与创新创业相结合，推动乡村振兴项目。面向毕业生宣讲、解读灵活就业社会保障有关政策，帮助更多毕业生用足用好相关政策资源，为毕业生从事新形态就业提供服务。</w:t>
      </w:r>
    </w:p>
    <w:p>
      <w:pPr>
        <w:pStyle w:val="160"/>
        <w:numPr>
          <w:ilvl w:val="3"/>
          <w:numId w:val="12"/>
        </w:numPr>
        <w:spacing w:before="120" w:after="120"/>
        <w:rPr>
          <w:rFonts w:hint="eastAsia" w:cs="宋体"/>
          <w:color w:val="006699"/>
        </w:rPr>
      </w:pPr>
      <w:bookmarkStart w:id="33" w:name="_Toc153811518"/>
      <w:r>
        <w:rPr>
          <w:rFonts w:hint="eastAsia" w:cs="宋体"/>
          <w:color w:val="006699"/>
        </w:rPr>
        <w:t>深化就创业育人载体，建设高质量服务指导体系</w:t>
      </w:r>
      <w:bookmarkEnd w:id="33"/>
    </w:p>
    <w:p>
      <w:pPr>
        <w:ind w:firstLine="420"/>
        <w:rPr>
          <w:rFonts w:hint="eastAsia" w:ascii="仿宋_GB2312" w:hAnsi="宋体" w:eastAsia="仿宋_GB2312" w:cs="宋体"/>
          <w:kern w:val="0"/>
          <w:sz w:val="32"/>
          <w:szCs w:val="32"/>
        </w:rPr>
      </w:pPr>
      <w:r>
        <w:rPr>
          <w:rFonts w:cs="宋体"/>
          <w:b/>
          <w:color w:val="006699"/>
          <w:kern w:val="0"/>
          <w:szCs w:val="20"/>
          <w:lang w:val="en-US" w:eastAsia="zh-CN" w:bidi="ar-SA"/>
        </w:rPr>
        <w:t>1</w:t>
      </w:r>
      <w:r>
        <w:rPr>
          <w:rFonts w:hint="eastAsia" w:cs="宋体"/>
          <w:b/>
          <w:color w:val="006699"/>
          <w:kern w:val="0"/>
          <w:szCs w:val="20"/>
          <w:lang w:val="en-US" w:eastAsia="zh-CN" w:bidi="ar-SA"/>
        </w:rPr>
        <w:t>.持续强化学生就业观教育。</w:t>
      </w:r>
      <w:r>
        <w:rPr>
          <w:rFonts w:hint="eastAsia" w:hAnsi="宋体" w:cs="宋体"/>
          <w:szCs w:val="32"/>
        </w:rPr>
        <w:t>引导学生树立</w:t>
      </w:r>
      <w:r>
        <w:rPr>
          <w:rFonts w:hint="eastAsia" w:ascii="宋体" w:hAnsi="宋体" w:cs="宋体"/>
          <w:szCs w:val="32"/>
        </w:rPr>
        <w:t>“</w:t>
      </w:r>
      <w:r>
        <w:rPr>
          <w:rFonts w:hint="eastAsia" w:hAnsi="宋体" w:cs="宋体"/>
          <w:szCs w:val="32"/>
        </w:rPr>
        <w:t>先就业、再择业</w:t>
      </w:r>
      <w:r>
        <w:rPr>
          <w:rFonts w:hint="eastAsia" w:ascii="宋体" w:hAnsi="宋体" w:cs="宋体"/>
          <w:szCs w:val="32"/>
        </w:rPr>
        <w:t>”</w:t>
      </w:r>
      <w:r>
        <w:rPr>
          <w:rFonts w:hint="eastAsia" w:hAnsi="宋体" w:cs="宋体"/>
          <w:szCs w:val="32"/>
        </w:rPr>
        <w:t>的理念，找准职业方向，实现职业发展。校院两级深入开展</w:t>
      </w:r>
      <w:r>
        <w:rPr>
          <w:rFonts w:hint="eastAsia" w:ascii="宋体" w:hAnsi="宋体" w:cs="宋体"/>
          <w:szCs w:val="32"/>
        </w:rPr>
        <w:t>“</w:t>
      </w:r>
      <w:r>
        <w:rPr>
          <w:rFonts w:hint="eastAsia" w:hAnsi="宋体" w:cs="宋体"/>
          <w:szCs w:val="32"/>
        </w:rPr>
        <w:t>戮力同心奋进新征程 基层就业绽放绚丽花</w:t>
      </w:r>
      <w:r>
        <w:rPr>
          <w:rFonts w:hint="eastAsia" w:ascii="宋体" w:hAnsi="宋体" w:cs="宋体"/>
          <w:szCs w:val="32"/>
        </w:rPr>
        <w:t>”</w:t>
      </w:r>
      <w:r>
        <w:rPr>
          <w:rFonts w:hint="eastAsia" w:hAnsi="宋体" w:cs="宋体"/>
          <w:szCs w:val="32"/>
        </w:rPr>
        <w:t>2023年就业观主题教育活动，以</w:t>
      </w:r>
      <w:r>
        <w:rPr>
          <w:rFonts w:hint="eastAsia" w:ascii="宋体" w:hAnsi="宋体" w:cs="宋体"/>
          <w:szCs w:val="32"/>
        </w:rPr>
        <w:t>“</w:t>
      </w:r>
      <w:r>
        <w:rPr>
          <w:rFonts w:hint="eastAsia" w:hAnsi="宋体" w:cs="宋体"/>
          <w:szCs w:val="32"/>
        </w:rPr>
        <w:t>成才观、职业观、就业观</w:t>
      </w:r>
      <w:r>
        <w:rPr>
          <w:rFonts w:hint="eastAsia" w:ascii="宋体" w:hAnsi="宋体" w:cs="宋体"/>
          <w:szCs w:val="32"/>
        </w:rPr>
        <w:t>”</w:t>
      </w:r>
      <w:r>
        <w:rPr>
          <w:rFonts w:hint="eastAsia" w:hAnsi="宋体" w:cs="宋体"/>
          <w:szCs w:val="32"/>
        </w:rPr>
        <w:t>为核心，围绕端正就业认知、调整就业预期、科学规划成长等内容，引导毕业生树立正确的就业价值观，客观看待个人条件和社会需求，从实际出发选择职业和工作岗位，尽早明确职业意向、尽快投身求职行动。就业观教育覆盖各年级、各专业，实现就业教育全覆盖。</w:t>
      </w:r>
    </w:p>
    <w:p>
      <w:pPr>
        <w:ind w:firstLine="422" w:firstLineChars="200"/>
        <w:rPr>
          <w:rFonts w:hint="eastAsia" w:ascii="仿宋_GB2312" w:hAnsi="宋体" w:eastAsia="仿宋_GB2312" w:cs="宋体"/>
          <w:kern w:val="0"/>
          <w:sz w:val="32"/>
          <w:szCs w:val="32"/>
        </w:rPr>
      </w:pPr>
      <w:r>
        <w:rPr>
          <w:rFonts w:cs="宋体"/>
          <w:b/>
          <w:color w:val="006699"/>
          <w:kern w:val="0"/>
          <w:szCs w:val="20"/>
          <w:lang w:val="en-US" w:eastAsia="zh-CN" w:bidi="ar-SA"/>
        </w:rPr>
        <w:t>2</w:t>
      </w:r>
      <w:r>
        <w:rPr>
          <w:rFonts w:hint="eastAsia" w:cs="宋体"/>
          <w:b/>
          <w:color w:val="006699"/>
          <w:kern w:val="0"/>
          <w:szCs w:val="20"/>
          <w:lang w:val="en-US" w:eastAsia="zh-CN" w:bidi="ar-SA"/>
        </w:rPr>
        <w:t>.进一步完善全员就业工作体系。</w:t>
      </w:r>
      <w:r>
        <w:rPr>
          <w:rFonts w:hint="eastAsia" w:hAnsi="宋体" w:cs="宋体"/>
          <w:szCs w:val="32"/>
        </w:rPr>
        <w:t>学校深刻认识就业对于人才培养的重大意义，将就业教育、就业引导纳入大学生思想政治教育体系，作为</w:t>
      </w:r>
      <w:r>
        <w:rPr>
          <w:rFonts w:hint="eastAsia" w:ascii="宋体" w:hAnsi="宋体" w:cs="宋体"/>
          <w:szCs w:val="32"/>
        </w:rPr>
        <w:t>“</w:t>
      </w:r>
      <w:r>
        <w:rPr>
          <w:rFonts w:hint="eastAsia" w:hAnsi="宋体" w:cs="宋体"/>
          <w:szCs w:val="32"/>
        </w:rPr>
        <w:t>三全育人</w:t>
      </w:r>
      <w:r>
        <w:rPr>
          <w:rFonts w:hint="eastAsia" w:ascii="宋体" w:hAnsi="宋体" w:cs="宋体"/>
          <w:szCs w:val="32"/>
        </w:rPr>
        <w:t>”</w:t>
      </w:r>
      <w:r>
        <w:rPr>
          <w:rFonts w:hint="eastAsia" w:hAnsi="宋体" w:cs="宋体"/>
          <w:szCs w:val="32"/>
        </w:rPr>
        <w:t>的重要内容和校院两级思政工作考核重要指标。各职能部门和二级学院将解决学生就业作为教职工的应尽之责、必担之责，有关情况要纳入年度考核和岗位绩效评价范畴。研究生导师作为所指导学生的就业第一责任人，对于所带学生就业突出的研究生导师在评奖评优等方面予以倾斜。校院两级切实承担起就业工作的主体责任，做到就业工作</w:t>
      </w:r>
      <w:r>
        <w:rPr>
          <w:rFonts w:hint="eastAsia" w:ascii="宋体" w:hAnsi="宋体" w:cs="宋体"/>
          <w:szCs w:val="32"/>
        </w:rPr>
        <w:t>“</w:t>
      </w:r>
      <w:r>
        <w:rPr>
          <w:rFonts w:hint="eastAsia" w:hAnsi="宋体" w:cs="宋体"/>
          <w:szCs w:val="32"/>
        </w:rPr>
        <w:t>管理无盲点、联系无缝隙、人员无遗漏、上报无逾期</w:t>
      </w:r>
      <w:r>
        <w:rPr>
          <w:rFonts w:hint="eastAsia" w:ascii="宋体" w:hAnsi="宋体" w:cs="宋体"/>
          <w:szCs w:val="32"/>
        </w:rPr>
        <w:t>”</w:t>
      </w:r>
      <w:r>
        <w:rPr>
          <w:rFonts w:hint="eastAsia" w:hAnsi="宋体" w:cs="宋体"/>
          <w:szCs w:val="32"/>
        </w:rPr>
        <w:t>，通过不断优化服务手段，为学生提供更优质、便捷、高效的就业服务。</w:t>
      </w:r>
    </w:p>
    <w:p>
      <w:pPr>
        <w:ind w:firstLine="422" w:firstLineChars="200"/>
        <w:rPr>
          <w:rFonts w:hint="eastAsia" w:ascii="仿宋_GB2312" w:hAnsi="宋体" w:eastAsia="仿宋_GB2312" w:cs="宋体"/>
          <w:kern w:val="0"/>
          <w:sz w:val="32"/>
          <w:szCs w:val="32"/>
        </w:rPr>
      </w:pPr>
      <w:r>
        <w:rPr>
          <w:rFonts w:cs="宋体"/>
          <w:b/>
          <w:color w:val="006699"/>
          <w:kern w:val="0"/>
          <w:szCs w:val="20"/>
          <w:lang w:val="en-US" w:eastAsia="zh-CN" w:bidi="ar-SA"/>
        </w:rPr>
        <w:t>3</w:t>
      </w:r>
      <w:r>
        <w:rPr>
          <w:rFonts w:hint="eastAsia" w:cs="宋体"/>
          <w:b/>
          <w:color w:val="006699"/>
          <w:kern w:val="0"/>
          <w:szCs w:val="20"/>
          <w:lang w:val="en-US" w:eastAsia="zh-CN" w:bidi="ar-SA"/>
        </w:rPr>
        <w:t>.建立精准化就业指导帮扶机制。</w:t>
      </w:r>
      <w:r>
        <w:rPr>
          <w:rFonts w:hint="eastAsia" w:hAnsi="宋体" w:cs="宋体"/>
          <w:szCs w:val="32"/>
        </w:rPr>
        <w:t>学校重点关注脱贫家庭、低保家庭、零就业家庭、残疾等困难毕业生，以及少数民族学生、就业困难学生等重点群体学生，建立帮扶工作台账，实行</w:t>
      </w:r>
      <w:r>
        <w:rPr>
          <w:rFonts w:hint="eastAsia" w:ascii="宋体" w:hAnsi="宋体" w:cs="宋体"/>
          <w:szCs w:val="32"/>
        </w:rPr>
        <w:t>“</w:t>
      </w:r>
      <w:r>
        <w:rPr>
          <w:rFonts w:hint="eastAsia" w:hAnsi="宋体" w:cs="宋体"/>
          <w:szCs w:val="32"/>
        </w:rPr>
        <w:t>一人一档</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一人一策</w:t>
      </w:r>
      <w:r>
        <w:rPr>
          <w:rFonts w:hint="eastAsia" w:ascii="宋体" w:hAnsi="宋体" w:cs="宋体"/>
          <w:szCs w:val="32"/>
        </w:rPr>
        <w:t>”</w:t>
      </w:r>
      <w:r>
        <w:rPr>
          <w:rFonts w:hint="eastAsia" w:hAnsi="宋体" w:cs="宋体"/>
          <w:szCs w:val="32"/>
        </w:rPr>
        <w:t>动态管理，精准开展就业帮扶工作。坚持落实</w:t>
      </w:r>
      <w:r>
        <w:rPr>
          <w:rFonts w:hint="eastAsia" w:ascii="宋体" w:hAnsi="宋体" w:cs="宋体"/>
          <w:szCs w:val="32"/>
        </w:rPr>
        <w:t>“</w:t>
      </w:r>
      <w:r>
        <w:rPr>
          <w:rFonts w:hint="eastAsia" w:hAnsi="宋体" w:cs="宋体"/>
          <w:szCs w:val="32"/>
        </w:rPr>
        <w:t>一对一</w:t>
      </w:r>
      <w:r>
        <w:rPr>
          <w:rFonts w:hint="eastAsia" w:ascii="宋体" w:hAnsi="宋体" w:cs="宋体"/>
          <w:szCs w:val="32"/>
        </w:rPr>
        <w:t>”</w:t>
      </w:r>
      <w:r>
        <w:rPr>
          <w:rFonts w:hint="eastAsia" w:hAnsi="宋体" w:cs="宋体"/>
          <w:szCs w:val="32"/>
        </w:rPr>
        <w:t>帮扶机制，学院领导班子成员、班主任、专业教师、辅导员等与困难毕业生深入开展结对帮扶，开展岗位推荐、技能培训等就业指导服务工作，实行分类指导，确保每一个困难毕业生都得到有效帮助。毕业班辅导员进一步加大个性化教育辅导的工作力度，特别针对</w:t>
      </w:r>
      <w:r>
        <w:rPr>
          <w:rFonts w:hint="eastAsia" w:ascii="宋体" w:hAnsi="宋体" w:cs="宋体"/>
          <w:szCs w:val="32"/>
        </w:rPr>
        <w:t>“</w:t>
      </w:r>
      <w:r>
        <w:rPr>
          <w:rFonts w:hint="eastAsia" w:hAnsi="宋体" w:cs="宋体"/>
          <w:szCs w:val="32"/>
        </w:rPr>
        <w:t>双困生</w:t>
      </w:r>
      <w:r>
        <w:rPr>
          <w:rFonts w:hint="eastAsia" w:ascii="宋体" w:hAnsi="宋体" w:cs="宋体"/>
          <w:szCs w:val="32"/>
        </w:rPr>
        <w:t>”</w:t>
      </w:r>
      <w:r>
        <w:rPr>
          <w:rFonts w:hint="eastAsia" w:hAnsi="宋体" w:cs="宋体"/>
          <w:szCs w:val="32"/>
        </w:rPr>
        <w:t>要持续开展心理援助和就业创业指导服务。学校坚持</w:t>
      </w:r>
      <w:r>
        <w:rPr>
          <w:rFonts w:hint="eastAsia" w:ascii="宋体" w:hAnsi="宋体" w:cs="宋体"/>
          <w:szCs w:val="32"/>
        </w:rPr>
        <w:t>“</w:t>
      </w:r>
      <w:r>
        <w:rPr>
          <w:rFonts w:hint="eastAsia" w:hAnsi="宋体" w:cs="宋体"/>
          <w:szCs w:val="32"/>
        </w:rPr>
        <w:t>未就业毕业生信息追踪台账</w:t>
      </w:r>
      <w:r>
        <w:rPr>
          <w:rFonts w:hint="eastAsia" w:ascii="宋体" w:hAnsi="宋体" w:cs="宋体"/>
          <w:szCs w:val="32"/>
        </w:rPr>
        <w:t>”</w:t>
      </w:r>
      <w:r>
        <w:rPr>
          <w:rFonts w:hint="eastAsia" w:hAnsi="宋体" w:cs="宋体"/>
          <w:szCs w:val="32"/>
        </w:rPr>
        <w:t>和</w:t>
      </w:r>
      <w:r>
        <w:rPr>
          <w:rFonts w:hint="eastAsia" w:ascii="宋体" w:hAnsi="宋体" w:cs="宋体"/>
          <w:szCs w:val="32"/>
        </w:rPr>
        <w:t>“</w:t>
      </w:r>
      <w:r>
        <w:rPr>
          <w:rFonts w:hint="eastAsia" w:hAnsi="宋体" w:cs="宋体"/>
          <w:szCs w:val="32"/>
        </w:rPr>
        <w:t>毕业生就业帮扶</w:t>
      </w:r>
      <w:r>
        <w:rPr>
          <w:rFonts w:hint="eastAsia" w:ascii="宋体" w:hAnsi="宋体" w:cs="宋体"/>
          <w:szCs w:val="32"/>
        </w:rPr>
        <w:t>”</w:t>
      </w:r>
      <w:r>
        <w:rPr>
          <w:rFonts w:hint="eastAsia" w:hAnsi="宋体" w:cs="宋体"/>
          <w:szCs w:val="32"/>
        </w:rPr>
        <w:t>台账的实名制管理制度，逐一挂号销账，持续追踪就业信息至毕业生离校半年后。</w:t>
      </w:r>
    </w:p>
    <w:p>
      <w:pPr>
        <w:ind w:firstLine="422" w:firstLineChars="200"/>
        <w:rPr>
          <w:rFonts w:hint="eastAsia" w:ascii="仿宋_GB2312" w:hAnsi="宋体" w:eastAsia="仿宋_GB2312" w:cs="宋体"/>
          <w:kern w:val="0"/>
          <w:sz w:val="32"/>
          <w:szCs w:val="32"/>
        </w:rPr>
      </w:pPr>
      <w:r>
        <w:rPr>
          <w:rFonts w:cs="宋体"/>
          <w:b/>
          <w:color w:val="006699"/>
          <w:kern w:val="0"/>
          <w:szCs w:val="20"/>
          <w:lang w:val="en-US" w:eastAsia="zh-CN" w:bidi="ar-SA"/>
        </w:rPr>
        <w:t>4</w:t>
      </w:r>
      <w:r>
        <w:rPr>
          <w:rFonts w:hint="eastAsia" w:cs="宋体"/>
          <w:b/>
          <w:color w:val="006699"/>
          <w:kern w:val="0"/>
          <w:szCs w:val="20"/>
          <w:lang w:val="en-US" w:eastAsia="zh-CN" w:bidi="ar-SA"/>
        </w:rPr>
        <w:t>.持续提升毕业生就业服务质量。</w:t>
      </w:r>
      <w:r>
        <w:rPr>
          <w:rFonts w:hint="eastAsia" w:hAnsi="宋体" w:cs="宋体"/>
          <w:szCs w:val="32"/>
        </w:rPr>
        <w:t>学校进一步升级</w:t>
      </w:r>
      <w:r>
        <w:rPr>
          <w:rFonts w:hint="eastAsia" w:ascii="宋体" w:hAnsi="宋体" w:cs="宋体"/>
          <w:szCs w:val="32"/>
        </w:rPr>
        <w:t>“</w:t>
      </w:r>
      <w:r>
        <w:rPr>
          <w:rFonts w:hint="eastAsia" w:hAnsi="宋体" w:cs="宋体"/>
          <w:szCs w:val="32"/>
        </w:rPr>
        <w:t>互联网+就业</w:t>
      </w:r>
      <w:r>
        <w:rPr>
          <w:rFonts w:hint="eastAsia" w:ascii="宋体" w:hAnsi="宋体" w:cs="宋体"/>
          <w:szCs w:val="32"/>
        </w:rPr>
        <w:t>”</w:t>
      </w:r>
      <w:r>
        <w:rPr>
          <w:rFonts w:hint="eastAsia" w:hAnsi="宋体" w:cs="宋体"/>
          <w:szCs w:val="32"/>
        </w:rPr>
        <w:t>服务，完善毕业生去向核验、企业真实性核查和小规模用人单位签约情况筛查预警模块功能。持续提升就业培训水平，建立</w:t>
      </w:r>
      <w:r>
        <w:rPr>
          <w:rFonts w:hint="eastAsia" w:ascii="宋体" w:hAnsi="宋体" w:cs="宋体"/>
          <w:szCs w:val="32"/>
        </w:rPr>
        <w:t>“</w:t>
      </w:r>
      <w:r>
        <w:rPr>
          <w:rFonts w:hint="eastAsia" w:hAnsi="宋体" w:cs="宋体"/>
          <w:szCs w:val="32"/>
        </w:rPr>
        <w:t>校级抓普遍抓重点、院级抓全员抓专项</w:t>
      </w:r>
      <w:r>
        <w:rPr>
          <w:rFonts w:hint="eastAsia" w:ascii="宋体" w:hAnsi="宋体" w:cs="宋体"/>
          <w:szCs w:val="32"/>
        </w:rPr>
        <w:t>”</w:t>
      </w:r>
      <w:r>
        <w:rPr>
          <w:rFonts w:hint="eastAsia" w:hAnsi="宋体" w:cs="宋体"/>
          <w:szCs w:val="32"/>
        </w:rPr>
        <w:t>的培训格局，提升就业培训的针对性，提升校院两级就业培训工作的专业化水平校院两级定期面向毕业生发布警示提醒信息，严密防范招聘陷阱、就业欺诈、</w:t>
      </w:r>
      <w:r>
        <w:rPr>
          <w:rFonts w:hint="eastAsia" w:ascii="宋体" w:hAnsi="宋体" w:cs="宋体"/>
          <w:szCs w:val="32"/>
        </w:rPr>
        <w:t>“</w:t>
      </w:r>
      <w:r>
        <w:rPr>
          <w:rFonts w:hint="eastAsia" w:hAnsi="宋体" w:cs="宋体"/>
          <w:szCs w:val="32"/>
        </w:rPr>
        <w:t>培训贷</w:t>
      </w:r>
      <w:r>
        <w:rPr>
          <w:rFonts w:hint="eastAsia" w:ascii="宋体" w:hAnsi="宋体" w:cs="宋体"/>
          <w:szCs w:val="32"/>
        </w:rPr>
        <w:t>”</w:t>
      </w:r>
      <w:r>
        <w:rPr>
          <w:rFonts w:hint="eastAsia" w:hAnsi="宋体" w:cs="宋体"/>
          <w:szCs w:val="32"/>
        </w:rPr>
        <w:t>等不法行为，维护毕业生权益。</w:t>
      </w:r>
    </w:p>
    <w:p>
      <w:pPr>
        <w:pStyle w:val="160"/>
        <w:numPr>
          <w:ilvl w:val="3"/>
          <w:numId w:val="12"/>
        </w:numPr>
        <w:spacing w:before="120" w:after="120"/>
        <w:rPr>
          <w:rFonts w:hint="eastAsia" w:cs="宋体"/>
          <w:color w:val="006699"/>
        </w:rPr>
      </w:pPr>
      <w:bookmarkStart w:id="34" w:name="_Toc153811519"/>
      <w:r>
        <w:rPr>
          <w:rFonts w:hint="eastAsia" w:cs="宋体"/>
          <w:color w:val="006699"/>
        </w:rPr>
        <w:t>深化聚焦评价升级，促进招生培养就业机制联动</w:t>
      </w:r>
      <w:bookmarkEnd w:id="34"/>
    </w:p>
    <w:p>
      <w:pPr>
        <w:ind w:firstLine="422" w:firstLineChars="200"/>
        <w:rPr>
          <w:rFonts w:hint="eastAsia" w:ascii="仿宋_GB2312" w:hAnsi="宋体" w:eastAsia="仿宋_GB2312" w:cs="宋体"/>
          <w:kern w:val="0"/>
          <w:sz w:val="32"/>
          <w:szCs w:val="32"/>
        </w:rPr>
      </w:pPr>
      <w:r>
        <w:rPr>
          <w:rFonts w:hint="eastAsia" w:cs="宋体"/>
          <w:b/>
          <w:color w:val="006699"/>
          <w:kern w:val="0"/>
          <w:szCs w:val="20"/>
          <w:lang w:val="en-US" w:eastAsia="zh-CN" w:bidi="ar-SA"/>
        </w:rPr>
        <w:t>1.严格落实就业统计核查工作。</w:t>
      </w:r>
      <w:r>
        <w:rPr>
          <w:rFonts w:hint="eastAsia" w:hAnsi="宋体" w:cs="宋体"/>
          <w:szCs w:val="32"/>
        </w:rPr>
        <w:t>学校严守</w:t>
      </w:r>
      <w:r>
        <w:rPr>
          <w:rFonts w:hint="eastAsia" w:ascii="宋体" w:hAnsi="宋体" w:cs="宋体"/>
          <w:szCs w:val="32"/>
        </w:rPr>
        <w:t>“</w:t>
      </w:r>
      <w:r>
        <w:rPr>
          <w:rFonts w:hint="eastAsia" w:hAnsi="宋体" w:cs="宋体"/>
          <w:szCs w:val="32"/>
        </w:rPr>
        <w:t>四不准</w:t>
      </w:r>
      <w:r>
        <w:rPr>
          <w:rFonts w:hint="eastAsia" w:ascii="宋体" w:hAnsi="宋体" w:cs="宋体"/>
          <w:szCs w:val="32"/>
        </w:rPr>
        <w:t>”</w:t>
      </w:r>
      <w:r>
        <w:rPr>
          <w:rFonts w:hint="eastAsia" w:hAnsi="宋体" w:cs="宋体"/>
          <w:szCs w:val="32"/>
        </w:rPr>
        <w:t>、</w:t>
      </w:r>
      <w:r>
        <w:rPr>
          <w:rFonts w:hint="eastAsia" w:ascii="宋体" w:hAnsi="宋体" w:cs="宋体"/>
          <w:szCs w:val="32"/>
        </w:rPr>
        <w:t>“</w:t>
      </w:r>
      <w:r>
        <w:rPr>
          <w:rFonts w:hint="eastAsia" w:hAnsi="宋体" w:cs="宋体"/>
          <w:szCs w:val="32"/>
        </w:rPr>
        <w:t>三严禁</w:t>
      </w:r>
      <w:r>
        <w:rPr>
          <w:rFonts w:hint="eastAsia" w:ascii="宋体" w:hAnsi="宋体" w:cs="宋体"/>
          <w:szCs w:val="32"/>
        </w:rPr>
        <w:t>”</w:t>
      </w:r>
      <w:r>
        <w:rPr>
          <w:rFonts w:hint="eastAsia" w:hAnsi="宋体" w:cs="宋体"/>
          <w:szCs w:val="32"/>
        </w:rPr>
        <w:t>工作要求，按照教育部颁布的高校毕业生就业去向界定及标准，落实好就业信息平台的录入与核查工作，做到情况清、底数明，准确掌握毕业生升学、签约、待就业等具体情况。校院两级严格按照时间截点做好2023年的毕业生就业数据及相关信息的统计上报工作，确保数据统计专人负责、及时录入、动态监测、适时分析，实现</w:t>
      </w:r>
      <w:r>
        <w:rPr>
          <w:rFonts w:hint="eastAsia" w:ascii="宋体" w:hAnsi="宋体" w:cs="宋体"/>
          <w:szCs w:val="32"/>
        </w:rPr>
        <w:t>“</w:t>
      </w:r>
      <w:r>
        <w:rPr>
          <w:rFonts w:hint="eastAsia" w:hAnsi="宋体" w:cs="宋体"/>
          <w:szCs w:val="32"/>
        </w:rPr>
        <w:t>就业去向落实一人，数据信息上报一人</w:t>
      </w:r>
      <w:r>
        <w:rPr>
          <w:rFonts w:hint="eastAsia" w:ascii="宋体" w:hAnsi="宋体" w:cs="宋体"/>
          <w:szCs w:val="32"/>
        </w:rPr>
        <w:t>”</w:t>
      </w:r>
      <w:r>
        <w:rPr>
          <w:rFonts w:hint="eastAsia" w:hAnsi="宋体" w:cs="宋体"/>
          <w:szCs w:val="32"/>
        </w:rPr>
        <w:t>，做到就业状况</w:t>
      </w:r>
      <w:r>
        <w:rPr>
          <w:rFonts w:hint="eastAsia" w:ascii="宋体" w:hAnsi="宋体" w:cs="宋体"/>
          <w:szCs w:val="32"/>
        </w:rPr>
        <w:t>“</w:t>
      </w:r>
      <w:r>
        <w:rPr>
          <w:rFonts w:hint="eastAsia" w:hAnsi="宋体" w:cs="宋体"/>
          <w:szCs w:val="32"/>
        </w:rPr>
        <w:t>日日清</w:t>
      </w:r>
      <w:r>
        <w:rPr>
          <w:rFonts w:hint="eastAsia" w:ascii="宋体" w:hAnsi="宋体" w:cs="宋体"/>
          <w:szCs w:val="32"/>
        </w:rPr>
        <w:t>”</w:t>
      </w:r>
      <w:r>
        <w:rPr>
          <w:rFonts w:hint="eastAsia" w:hAnsi="宋体" w:cs="宋体"/>
          <w:szCs w:val="32"/>
        </w:rPr>
        <w:t>，尤其对于就业状况不稳定的毕业生要进行持续跟踪，做好延续性就业服务。充分利用</w:t>
      </w:r>
      <w:r>
        <w:rPr>
          <w:rFonts w:hint="eastAsia" w:ascii="宋体" w:hAnsi="宋体" w:cs="宋体"/>
          <w:szCs w:val="32"/>
        </w:rPr>
        <w:t>“</w:t>
      </w:r>
      <w:r>
        <w:rPr>
          <w:rFonts w:hint="eastAsia" w:hAnsi="宋体" w:cs="宋体"/>
          <w:szCs w:val="32"/>
        </w:rPr>
        <w:t>学信网</w:t>
      </w:r>
      <w:r>
        <w:rPr>
          <w:rFonts w:hint="eastAsia" w:ascii="宋体" w:hAnsi="宋体" w:cs="宋体"/>
          <w:szCs w:val="32"/>
        </w:rPr>
        <w:t>”</w:t>
      </w:r>
      <w:r>
        <w:rPr>
          <w:rFonts w:hint="eastAsia" w:hAnsi="宋体" w:cs="宋体"/>
          <w:szCs w:val="32"/>
        </w:rPr>
        <w:t>毕业生去向查询反馈功能，引导毕业生积极参与、严肃对待本人毕业去向信息的查询核实，对学生反馈的就业状况存疑信息要建立台账，及时纠正。深入开展2023年就业数据核查工作，签署</w:t>
      </w:r>
      <w:r>
        <w:rPr>
          <w:rFonts w:hint="eastAsia" w:ascii="宋体" w:hAnsi="宋体" w:cs="宋体"/>
          <w:szCs w:val="32"/>
        </w:rPr>
        <w:t>“</w:t>
      </w:r>
      <w:r>
        <w:rPr>
          <w:rFonts w:hint="eastAsia" w:hAnsi="宋体" w:cs="宋体"/>
          <w:szCs w:val="32"/>
        </w:rPr>
        <w:t>天津中医药大学2023年就业统计工作承诺书</w:t>
      </w:r>
      <w:r>
        <w:rPr>
          <w:rFonts w:hint="eastAsia" w:ascii="宋体" w:hAnsi="宋体" w:cs="宋体"/>
          <w:szCs w:val="32"/>
        </w:rPr>
        <w:t>”</w:t>
      </w:r>
      <w:r>
        <w:rPr>
          <w:rFonts w:hint="eastAsia" w:hAnsi="宋体" w:cs="宋体"/>
          <w:szCs w:val="32"/>
        </w:rPr>
        <w:t>，采用抽查、电话回访、数据比对三种方式进行自查、核查、抽查，对查实的弄虚作假等问题严查严处，并予以通报。</w:t>
      </w:r>
    </w:p>
    <w:p>
      <w:pPr>
        <w:ind w:firstLine="422" w:firstLineChars="200"/>
        <w:rPr>
          <w:rFonts w:hint="eastAsia" w:ascii="仿宋_GB2312" w:hAnsi="宋体" w:eastAsia="仿宋_GB2312" w:cs="宋体"/>
          <w:kern w:val="0"/>
          <w:sz w:val="32"/>
          <w:szCs w:val="32"/>
        </w:rPr>
      </w:pPr>
      <w:r>
        <w:rPr>
          <w:rFonts w:hint="eastAsia" w:cs="宋体"/>
          <w:b/>
          <w:color w:val="006699"/>
          <w:kern w:val="0"/>
          <w:szCs w:val="20"/>
          <w:lang w:val="en-US" w:eastAsia="zh-CN" w:bidi="ar-SA"/>
        </w:rPr>
        <w:t>2.完善就业质量评价机制。</w:t>
      </w:r>
      <w:r>
        <w:rPr>
          <w:rFonts w:hint="eastAsia" w:hAnsi="宋体" w:cs="宋体"/>
          <w:szCs w:val="32"/>
        </w:rPr>
        <w:t>扎实推进2023年用人单位回访、毕业生就业状况及培养质量的调研分析工作。校院两级深入开展企业走访、座谈等活动，了解毕业生在工作单位的工作、生活及发展情况，尤其针对勇搏励志班的毕业生要进行重点追踪，有效掌握用人单位对我校毕业生在专业技能、职业素养及岗位适应力等方面的评价和建议。认真研究，总结分析，充分参考和使用就业质量报告中的统计分析数据，作为制订人才培养方案和专业评估等工作的参考依据，科学的为毕业生和用人单位</w:t>
      </w:r>
      <w:r>
        <w:rPr>
          <w:rFonts w:hint="eastAsia" w:ascii="宋体" w:hAnsi="宋体" w:cs="宋体"/>
          <w:szCs w:val="32"/>
        </w:rPr>
        <w:t>“</w:t>
      </w:r>
      <w:r>
        <w:rPr>
          <w:rFonts w:hint="eastAsia" w:hAnsi="宋体" w:cs="宋体"/>
          <w:szCs w:val="32"/>
        </w:rPr>
        <w:t>双向选择</w:t>
      </w:r>
      <w:r>
        <w:rPr>
          <w:rFonts w:hint="eastAsia" w:ascii="宋体" w:hAnsi="宋体" w:cs="宋体"/>
          <w:szCs w:val="32"/>
        </w:rPr>
        <w:t>”</w:t>
      </w:r>
      <w:r>
        <w:rPr>
          <w:rFonts w:hint="eastAsia" w:hAnsi="宋体" w:cs="宋体"/>
          <w:szCs w:val="32"/>
        </w:rPr>
        <w:t>进行人岗匹配。进一步完善就业质量综合评价机制，将就业情况作为评价学院人才培养质量、整体育人水平、抓基层党建述职评议考核、评价学院党政领导班子能力的重要指标。各二级学院在完成毕业生毕业去向落实率的基础上，综合考虑就业岗位质量、就业育人效果、重点地区就业、重点人群就业帮扶、就业违规处理等情况，将就业质量评价结果作为评定就业工作先进单位的参考依据。</w:t>
      </w:r>
    </w:p>
    <w:p>
      <w:pPr>
        <w:ind w:firstLine="422" w:firstLineChars="200"/>
        <w:rPr>
          <w:rFonts w:hint="eastAsia" w:ascii="仿宋_GB2312" w:hAnsi="宋体" w:eastAsia="仿宋_GB2312" w:cs="宋体"/>
          <w:kern w:val="0"/>
          <w:sz w:val="32"/>
          <w:szCs w:val="32"/>
        </w:rPr>
      </w:pPr>
      <w:r>
        <w:rPr>
          <w:rFonts w:hint="eastAsia" w:cs="宋体"/>
          <w:b/>
          <w:color w:val="006699"/>
          <w:kern w:val="0"/>
          <w:szCs w:val="20"/>
          <w:lang w:val="en-US" w:eastAsia="zh-CN" w:bidi="ar-SA"/>
        </w:rPr>
        <w:t>3.深入</w:t>
      </w:r>
      <w:r>
        <w:rPr>
          <w:rFonts w:cs="宋体"/>
          <w:b/>
          <w:color w:val="006699"/>
          <w:kern w:val="0"/>
          <w:szCs w:val="20"/>
          <w:lang w:val="en-US" w:eastAsia="zh-CN" w:bidi="ar-SA"/>
        </w:rPr>
        <w:t>推动就业与招生培养联动改革。</w:t>
      </w:r>
      <w:r>
        <w:rPr>
          <w:rFonts w:hint="eastAsia" w:hAnsi="宋体" w:cs="宋体"/>
          <w:szCs w:val="32"/>
        </w:rPr>
        <w:t>校院两级不断优化学科专业设置，科学分析重点布局社会需求强、就业前景广、人才缺口大的学科专业。深入开展专业学科就业状况跟踪调查，将调查结果作为</w:t>
      </w:r>
      <w:r>
        <w:rPr>
          <w:rFonts w:hint="eastAsia" w:ascii="宋体" w:hAnsi="宋体" w:cs="宋体"/>
          <w:szCs w:val="32"/>
        </w:rPr>
        <w:t>“</w:t>
      </w:r>
      <w:r>
        <w:rPr>
          <w:rFonts w:hint="eastAsia" w:hAnsi="宋体" w:cs="宋体"/>
          <w:szCs w:val="32"/>
        </w:rPr>
        <w:t>双一流</w:t>
      </w:r>
      <w:r>
        <w:rPr>
          <w:rFonts w:hint="eastAsia" w:ascii="宋体" w:hAnsi="宋体" w:cs="宋体"/>
          <w:szCs w:val="32"/>
        </w:rPr>
        <w:t>”</w:t>
      </w:r>
      <w:r>
        <w:rPr>
          <w:rFonts w:hint="eastAsia" w:hAnsi="宋体" w:cs="宋体"/>
          <w:szCs w:val="32"/>
        </w:rPr>
        <w:t>建设绩效评价、本科教学评估、学科评估、专业设置与管理等重要依据，针对就业率过低、不适应市场需求的学科专业要及时提供招生计划调整依据。充分发挥就业大数据对招生计划安排、人才培养方案调整的作用，不断提高人才培养和社会需求的契合度。深化工作协同机制，进一步构建</w:t>
      </w:r>
      <w:r>
        <w:rPr>
          <w:rFonts w:hint="eastAsia" w:ascii="宋体" w:hAnsi="宋体" w:cs="宋体"/>
          <w:szCs w:val="32"/>
        </w:rPr>
        <w:t>“</w:t>
      </w:r>
      <w:r>
        <w:rPr>
          <w:rFonts w:hint="eastAsia" w:hAnsi="宋体" w:cs="宋体"/>
          <w:szCs w:val="32"/>
        </w:rPr>
        <w:t>招生-培养-就业-校友</w:t>
      </w:r>
      <w:r>
        <w:rPr>
          <w:rFonts w:hint="eastAsia" w:ascii="宋体" w:hAnsi="宋体" w:cs="宋体"/>
          <w:szCs w:val="32"/>
        </w:rPr>
        <w:t>”</w:t>
      </w:r>
      <w:r>
        <w:rPr>
          <w:rFonts w:hint="eastAsia" w:hAnsi="宋体" w:cs="宋体"/>
          <w:szCs w:val="32"/>
        </w:rPr>
        <w:t>全链条的育人工作体系。</w:t>
      </w:r>
    </w:p>
    <w:p>
      <w:pPr>
        <w:ind w:firstLine="420"/>
        <w:rPr>
          <w:color w:val="006699"/>
        </w:rPr>
        <w:sectPr>
          <w:footnotePr>
            <w:numRestart w:val="eachPage"/>
          </w:footnotePr>
          <w:pgSz w:w="11906" w:h="16838"/>
          <w:pgMar w:top="1984" w:right="1531" w:bottom="1701" w:left="1701" w:header="992" w:footer="850" w:gutter="0"/>
          <w:cols w:space="708" w:num="1"/>
          <w:docGrid w:linePitch="360" w:charSpace="0"/>
        </w:sectPr>
      </w:pPr>
      <w:r>
        <w:rPr>
          <w:rFonts w:hint="eastAsia" w:cs="宋体"/>
          <w:b/>
          <w:color w:val="006699"/>
          <w:kern w:val="0"/>
          <w:szCs w:val="20"/>
          <w:lang w:val="en-US" w:eastAsia="zh-CN" w:bidi="ar-SA"/>
        </w:rPr>
        <w:t>4.实施就业工作考核和激励机制。</w:t>
      </w:r>
      <w:r>
        <w:rPr>
          <w:rFonts w:hint="eastAsia"/>
        </w:rPr>
        <w:t>学校每年面向二级学院划拨就业专项经费，实施就业考核奖励机制，具体参照《天津中医药大学关于完善2021届毕业生就业考核奖励机制的通知》（津中医党发〔2021〕45号）执行。二级学院整体就业工作情况将纳入学校对二级学院整体思政考核指标体系，作为2023年抓基层党建述职评议考核的重要内容，对于各级各类检查发现存在就业数据造假、就业统计不规范、就业单位真实性核查不到位的学院，实行</w:t>
      </w:r>
      <w:r>
        <w:rPr>
          <w:rFonts w:hint="eastAsia" w:ascii="宋体" w:hAnsi="宋体"/>
        </w:rPr>
        <w:t>“</w:t>
      </w:r>
      <w:r>
        <w:rPr>
          <w:rFonts w:hint="eastAsia"/>
        </w:rPr>
        <w:t>一票否决</w:t>
      </w:r>
      <w:r>
        <w:rPr>
          <w:rFonts w:hint="eastAsia" w:ascii="宋体" w:hAnsi="宋体"/>
        </w:rPr>
        <w:t>”</w:t>
      </w:r>
      <w:r>
        <w:rPr>
          <w:rFonts w:hint="eastAsia"/>
        </w:rPr>
        <w:t>，在以上惩戒措施基础上，取消该学院下一学年度学院党建工作考核及思政工作考核的评优资格。</w:t>
      </w:r>
    </w:p>
    <w:p>
      <w:pPr>
        <w:pStyle w:val="159"/>
        <w:numPr>
          <w:ilvl w:val="2"/>
          <w:numId w:val="12"/>
        </w:numPr>
        <w:spacing w:before="120" w:after="120"/>
        <w:ind w:left="0"/>
        <w:rPr>
          <w:rFonts w:cs="宋体"/>
          <w:color w:val="006699"/>
        </w:rPr>
      </w:pPr>
      <w:bookmarkStart w:id="35" w:name="_Toc153811521"/>
      <w:r>
        <w:rPr>
          <w:rFonts w:cs="宋体"/>
          <w:color w:val="006699"/>
        </w:rPr>
        <w:drawing>
          <wp:anchor distT="0" distB="0" distL="114300" distR="114300" simplePos="0" relativeHeight="251675648" behindDoc="1" locked="0" layoutInCell="1" allowOverlap="1">
            <wp:simplePos x="0" y="0"/>
            <wp:positionH relativeFrom="column">
              <wp:posOffset>967740</wp:posOffset>
            </wp:positionH>
            <wp:positionV relativeFrom="paragraph">
              <wp:posOffset>36195</wp:posOffset>
            </wp:positionV>
            <wp:extent cx="471805" cy="334645"/>
            <wp:effectExtent l="0" t="0" r="0" b="0"/>
            <wp:wrapNone/>
            <wp:docPr id="9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就业服务工作情况</w:t>
      </w:r>
      <w:bookmarkEnd w:id="35"/>
    </w:p>
    <w:p>
      <w:pPr>
        <w:pStyle w:val="161"/>
        <w:numPr>
          <w:ilvl w:val="4"/>
          <w:numId w:val="12"/>
        </w:numPr>
        <w:spacing w:line="320" w:lineRule="auto"/>
        <w:outlineLvl w:val="9"/>
        <w:rPr>
          <w:rFonts w:cs="宋体"/>
          <w:color w:val="006699"/>
        </w:rPr>
      </w:pPr>
      <w:r>
        <w:rPr>
          <w:rFonts w:cs="宋体"/>
          <w:color w:val="006699"/>
        </w:rPr>
        <w:t>就业服务总体满意度</w:t>
      </w:r>
    </w:p>
    <w:p>
      <w:pPr>
        <w:pStyle w:val="164"/>
        <w:keepNext/>
        <w:spacing w:line="360" w:lineRule="auto"/>
        <w:ind w:firstLine="420"/>
        <w:jc w:val="both"/>
        <w:rPr>
          <w:rFonts w:cs="宋体"/>
          <w:color w:val="000000"/>
          <w:lang w:val="en-US" w:eastAsia="zh-CN" w:bidi="ar-SA"/>
        </w:rPr>
      </w:pPr>
      <w:r>
        <w:rPr>
          <w:rFonts w:hint="eastAsia" w:cs="宋体"/>
          <w:b/>
          <w:bCs/>
          <w:color w:val="000000"/>
          <w:lang w:val="en-US" w:eastAsia="zh-CN" w:bidi="ar-SA"/>
        </w:rPr>
        <w:t>九</w:t>
      </w:r>
      <w:r>
        <w:rPr>
          <w:rFonts w:cs="宋体"/>
          <w:b/>
          <w:bCs/>
          <w:color w:val="000000"/>
          <w:lang w:val="en-US" w:eastAsia="zh-CN" w:bidi="ar-SA"/>
        </w:rPr>
        <w:t>成</w:t>
      </w:r>
      <w:r>
        <w:rPr>
          <w:rFonts w:hint="eastAsia" w:cs="宋体"/>
          <w:b/>
          <w:bCs/>
          <w:color w:val="000000"/>
          <w:lang w:val="en-US" w:eastAsia="zh-CN" w:bidi="ar-SA"/>
        </w:rPr>
        <w:t>以上</w:t>
      </w:r>
      <w:r>
        <w:rPr>
          <w:rFonts w:cs="宋体"/>
          <w:b/>
          <w:bCs/>
          <w:color w:val="000000"/>
          <w:lang w:val="en-US" w:eastAsia="zh-CN" w:bidi="ar-SA"/>
        </w:rPr>
        <w:t>毕业生对就业服务工作满意。</w:t>
      </w: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毕业生对就业服务工作的总体满意度为91%，就业服务工作取得成效。</w:t>
      </w:r>
    </w:p>
    <w:p>
      <w:pPr>
        <w:jc w:val="center"/>
        <w:rPr>
          <w:rFonts w:cs="宋体"/>
          <w:color w:val="000000"/>
        </w:rPr>
      </w:pPr>
      <w:r>
        <w:drawing>
          <wp:inline distT="0" distB="0" distL="0" distR="0">
            <wp:extent cx="5219700" cy="2514600"/>
            <wp:effectExtent l="0" t="0" r="0" b="0"/>
            <wp:docPr id="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36" w:name="_Toc153811567"/>
      <w:r>
        <w:rPr>
          <w:rFonts w:cs="宋体"/>
          <w:color w:val="000000"/>
        </w:rPr>
        <w:t>毕业生对就业服务工作的总体满意度</w:t>
      </w:r>
      <w:bookmarkEnd w:id="36"/>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18"/>
        </w:rPr>
      </w:pPr>
    </w:p>
    <w:p>
      <w:pPr>
        <w:rPr>
          <w:rFonts w:cs="宋体"/>
          <w:color w:val="000000"/>
          <w:sz w:val="18"/>
        </w:rPr>
      </w:pP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76672" behindDoc="0" locked="0" layoutInCell="1" allowOverlap="1">
                <wp:simplePos x="0" y="0"/>
                <wp:positionH relativeFrom="page">
                  <wp:posOffset>295275</wp:posOffset>
                </wp:positionH>
                <wp:positionV relativeFrom="page">
                  <wp:posOffset>4532630</wp:posOffset>
                </wp:positionV>
                <wp:extent cx="3888105" cy="460375"/>
                <wp:effectExtent l="0" t="0" r="0" b="0"/>
                <wp:wrapNone/>
                <wp:docPr id="1192908925" name="Rectangle 100004"/>
                <wp:cNvGraphicFramePr/>
                <a:graphic xmlns:a="http://schemas.openxmlformats.org/drawingml/2006/main">
                  <a:graphicData uri="http://schemas.microsoft.com/office/word/2010/wordprocessingShape">
                    <wps:wsp>
                      <wps:cNvSpPr>
                        <a:spLocks noChangeArrowheads="1"/>
                      </wps:cNvSpPr>
                      <wps:spPr bwMode="auto">
                        <a:xfrm>
                          <a:off x="0" y="0"/>
                          <a:ext cx="3888105"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23.25pt;margin-top:356.9pt;height:36.25pt;width:306.15pt;mso-position-horizontal-relative:page;mso-position-vertical-relative:page;z-index:251676672;v-text-anchor:middle;mso-width-relative:page;mso-height-relative:page;" fillcolor="#579DC2" filled="t" stroked="f" coordsize="21600,21600" o:gfxdata="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gJL&#10;Q9oAAAAKAQAADwAAAAAAAAABACAAAAAiAAAAZHJzL2Rvd25yZXYueG1sUEsBAhQAFAAAAAgAh07i&#10;QPbMvAYgAgAAOQQAAA4AAAAAAAAAAQAgAAAAKQEAAGRycy9lMm9Eb2MueG1sUEsFBgAAAAAGAAYA&#10;WQEAALsFAAAAAA==&#10;">
                <v:fill on="t" focussize="0,0"/>
                <v:stroke on="f"/>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page">
                  <wp:posOffset>320675</wp:posOffset>
                </wp:positionH>
                <wp:positionV relativeFrom="page">
                  <wp:posOffset>3888105</wp:posOffset>
                </wp:positionV>
                <wp:extent cx="3887470" cy="1080135"/>
                <wp:effectExtent l="0" t="1905" r="1905" b="3810"/>
                <wp:wrapNone/>
                <wp:docPr id="947617988"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3887470"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就业相关分析</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25.25pt;margin-top:306.15pt;height:85.05pt;width:306.1pt;mso-position-horizontal-relative:page;mso-position-vertical-relative:page;z-index:251677696;mso-width-relative:page;mso-height-relative:page;" filled="f" stroked="f" coordsize="21600,21600" o:gfxdata="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jKkX2AAAAAoBAAAPAAAAAAAA&#10;AAEAIAAAACIAAABkcnMvZG93bnJldi54bWxQSwECFAAUAAAACACHTuJAxC+5KRICAAAhBAAADgAA&#10;AAAAAAABACAAAAAnAQAAZHJzL2Uyb0RvYy54bWxQSwUGAAAAAAYABgBZAQAAqwU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就业相关分析</w:t>
                      </w:r>
                    </w:p>
                  </w:txbxContent>
                </v:textbox>
              </v:shape>
            </w:pict>
          </mc:Fallback>
        </mc:AlternateContent>
      </w:r>
      <w:r>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560310" cy="10692130"/>
            <wp:effectExtent l="0" t="0" r="0" b="0"/>
            <wp:wrapNone/>
            <wp:docPr id="10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8"/>
        <w:numPr>
          <w:ilvl w:val="1"/>
          <w:numId w:val="12"/>
        </w:numPr>
        <w:ind w:left="0" w:firstLine="0"/>
        <w:jc w:val="center"/>
        <w:rPr>
          <w:rFonts w:cs="宋体"/>
          <w:color w:val="006699"/>
        </w:rPr>
      </w:pPr>
      <w:bookmarkStart w:id="37" w:name="_Toc153811523"/>
      <w:bookmarkStart w:id="38" w:name="_Toc153811572"/>
      <w:r>
        <w:rPr>
          <w:rFonts w:cs="宋体"/>
          <w:color w:val="006699"/>
        </w:rPr>
        <w:t>就业相关分析</w:t>
      </w:r>
      <w:bookmarkEnd w:id="37"/>
      <w:bookmarkEnd w:id="38"/>
    </w:p>
    <w:p>
      <w:pPr>
        <w:pStyle w:val="164"/>
        <w:spacing w:line="360" w:lineRule="auto"/>
        <w:ind w:firstLine="420"/>
        <w:jc w:val="both"/>
        <w:rPr>
          <w:rFonts w:cs="宋体"/>
          <w:color w:val="000000"/>
          <w:lang w:val="en-US" w:eastAsia="zh-CN" w:bidi="ar-SA"/>
        </w:rPr>
      </w:pPr>
      <w:r>
        <w:rPr>
          <w:rFonts w:cs="宋体"/>
          <w:b/>
          <w:color w:val="006699"/>
          <w:sz w:val="44"/>
        </w:rPr>
        <w:drawing>
          <wp:anchor distT="0" distB="0" distL="114300" distR="114300" simplePos="0" relativeHeight="251679744" behindDoc="1" locked="0" layoutInCell="1" allowOverlap="1">
            <wp:simplePos x="0" y="0"/>
            <wp:positionH relativeFrom="margin">
              <wp:posOffset>756285</wp:posOffset>
            </wp:positionH>
            <wp:positionV relativeFrom="margin">
              <wp:posOffset>-179705</wp:posOffset>
            </wp:positionV>
            <wp:extent cx="589915" cy="619125"/>
            <wp:effectExtent l="0" t="0" r="0" b="0"/>
            <wp:wrapNone/>
            <wp:docPr id="1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9915" cy="619125"/>
                    </a:xfrm>
                    <a:prstGeom prst="rect">
                      <a:avLst/>
                    </a:prstGeom>
                    <a:noFill/>
                  </pic:spPr>
                </pic:pic>
              </a:graphicData>
            </a:graphic>
          </wp:anchor>
        </w:drawing>
      </w:r>
      <w:r>
        <w:rPr>
          <w:rFonts w:cs="宋体"/>
          <w:color w:val="000000"/>
          <w:lang w:val="en-US" w:eastAsia="zh-CN" w:bidi="ar-SA"/>
        </w:rPr>
        <w:t>本章主要呈现毕业生就业状况分析，包含毕业生的工作与专业相关度、就业满意度等指标，综合了解毕业生就业质量和发展成长情况。</w:t>
      </w:r>
    </w:p>
    <w:p>
      <w:pPr>
        <w:pStyle w:val="164"/>
        <w:spacing w:line="348" w:lineRule="auto"/>
        <w:ind w:firstLine="420"/>
        <w:jc w:val="both"/>
        <w:rPr>
          <w:rFonts w:cs="宋体"/>
          <w:color w:val="000000"/>
          <w:lang w:val="zh-CN" w:eastAsia="zh-CN" w:bidi="ar-SA"/>
        </w:rPr>
      </w:pPr>
      <w:r>
        <w:rPr>
          <w:rFonts w:hint="eastAsia" w:cs="宋体"/>
          <w:color w:val="000000"/>
        </w:rPr>
        <w:t>数据来源于麦可思</w:t>
      </w:r>
      <w:r>
        <w:rPr>
          <w:rFonts w:cs="宋体"/>
          <w:color w:val="000000"/>
        </w:rPr>
        <w:t>-</w:t>
      </w:r>
      <w:r>
        <w:rPr>
          <w:rFonts w:hint="eastAsia" w:cs="宋体"/>
          <w:color w:val="000000"/>
        </w:rPr>
        <w:t>天津中医药大学</w:t>
      </w:r>
      <w:r>
        <w:rPr>
          <w:rFonts w:cs="宋体"/>
          <w:color w:val="000000"/>
        </w:rPr>
        <w:t>2023</w:t>
      </w:r>
      <w:r>
        <w:rPr>
          <w:rFonts w:hint="eastAsia" w:cs="宋体"/>
          <w:color w:val="000000"/>
        </w:rPr>
        <w:t>届本科毕业生培养质量评价数据。调查面向全校</w:t>
      </w:r>
      <w:r>
        <w:rPr>
          <w:rFonts w:cs="宋体"/>
          <w:color w:val="000000"/>
        </w:rPr>
        <w:t>2023</w:t>
      </w:r>
      <w:r>
        <w:rPr>
          <w:rFonts w:hint="eastAsia" w:cs="宋体"/>
          <w:color w:val="000000"/>
        </w:rPr>
        <w:t>届本科毕业生</w:t>
      </w:r>
      <w:r>
        <w:rPr>
          <w:rFonts w:hint="eastAsia" w:cs="宋体"/>
          <w:color w:val="000000"/>
          <w:szCs w:val="60"/>
        </w:rPr>
        <w:t>，截至</w:t>
      </w:r>
      <w:r>
        <w:rPr>
          <w:rFonts w:cs="宋体"/>
          <w:color w:val="000000"/>
          <w:szCs w:val="60"/>
        </w:rPr>
        <w:t>2023</w:t>
      </w:r>
      <w:r>
        <w:rPr>
          <w:rFonts w:hint="eastAsia" w:cs="宋体"/>
          <w:color w:val="000000"/>
          <w:szCs w:val="60"/>
        </w:rPr>
        <w:t>年</w:t>
      </w:r>
      <w:r>
        <w:rPr>
          <w:rFonts w:cs="宋体"/>
          <w:color w:val="000000"/>
          <w:szCs w:val="60"/>
        </w:rPr>
        <w:t>12</w:t>
      </w:r>
      <w:r>
        <w:rPr>
          <w:rFonts w:hint="eastAsia" w:cs="宋体"/>
          <w:color w:val="000000"/>
          <w:szCs w:val="60"/>
        </w:rPr>
        <w:t>月</w:t>
      </w:r>
      <w:r>
        <w:rPr>
          <w:rFonts w:cs="宋体"/>
          <w:color w:val="000000"/>
          <w:szCs w:val="60"/>
        </w:rPr>
        <w:t>1</w:t>
      </w:r>
      <w:r>
        <w:rPr>
          <w:rFonts w:hint="eastAsia" w:cs="宋体"/>
          <w:color w:val="000000"/>
          <w:szCs w:val="60"/>
        </w:rPr>
        <w:t>日，共回收有效问卷</w:t>
      </w:r>
      <w:r>
        <w:rPr>
          <w:rFonts w:cs="宋体"/>
          <w:color w:val="000000"/>
          <w:szCs w:val="60"/>
        </w:rPr>
        <w:t>1533</w:t>
      </w:r>
      <w:r>
        <w:rPr>
          <w:rFonts w:hint="eastAsia" w:cs="宋体"/>
          <w:color w:val="000000"/>
          <w:szCs w:val="60"/>
        </w:rPr>
        <w:t>份，回收问卷数量占毕业生总人数的</w:t>
      </w:r>
      <w:r>
        <w:rPr>
          <w:color w:val="000000"/>
          <w:szCs w:val="21"/>
        </w:rPr>
        <w:t>59.2%</w:t>
      </w:r>
      <w:r>
        <w:rPr>
          <w:rFonts w:hint="eastAsia" w:cs="宋体"/>
          <w:color w:val="000000"/>
          <w:szCs w:val="60"/>
        </w:rPr>
        <w:t>，</w:t>
      </w:r>
      <w:r>
        <w:rPr>
          <w:rFonts w:hint="eastAsia" w:cs="宋体"/>
          <w:color w:val="000000"/>
        </w:rPr>
        <w:t>由于调研口径、调研参与率等因素，与学校初次毕业去向落实率截点的统计有一定差异</w:t>
      </w:r>
      <w:r>
        <w:rPr>
          <w:rFonts w:hint="eastAsia" w:cs="宋体"/>
          <w:color w:val="000000"/>
          <w:lang w:val="en-US" w:eastAsia="zh-CN" w:bidi="ar-SA"/>
        </w:rPr>
        <w:t>。</w:t>
      </w:r>
    </w:p>
    <w:p>
      <w:pPr>
        <w:pStyle w:val="34"/>
        <w:spacing w:line="348" w:lineRule="auto"/>
        <w:ind w:firstLine="420"/>
        <w:rPr>
          <w:lang w:val="en-US" w:eastAsia="zh-CN" w:bidi="ar-SA"/>
        </w:rPr>
      </w:pPr>
      <w:r>
        <w:rPr>
          <w:rFonts w:hint="eastAsia" w:cs="宋体"/>
          <w:color w:val="000000"/>
          <w:lang w:val="en-US" w:bidi="ar-SA"/>
        </w:rPr>
        <w:t>我校</w:t>
      </w:r>
      <w:r>
        <w:rPr>
          <w:rFonts w:hint="eastAsia" w:cs="宋体"/>
          <w:color w:val="000000"/>
          <w:lang w:val="en-US" w:eastAsia="zh-CN" w:bidi="ar-SA"/>
        </w:rPr>
        <w:t>2</w:t>
      </w:r>
      <w:r>
        <w:rPr>
          <w:rFonts w:cs="宋体"/>
          <w:color w:val="000000"/>
          <w:lang w:val="en-US" w:eastAsia="zh-CN" w:bidi="ar-SA"/>
        </w:rPr>
        <w:t>023</w:t>
      </w:r>
      <w:r>
        <w:rPr>
          <w:rFonts w:hint="eastAsia" w:cs="宋体"/>
          <w:color w:val="000000"/>
          <w:lang w:val="en-US" w:eastAsia="zh-CN" w:bidi="ar-SA"/>
        </w:rPr>
        <w:t>届本科毕业生的整体就业质量较好。具体来看，近九成（</w:t>
      </w:r>
      <w:r>
        <w:rPr>
          <w:rFonts w:cs="宋体"/>
          <w:color w:val="000000"/>
          <w:lang w:val="en-US" w:eastAsia="zh-CN" w:bidi="ar-SA"/>
        </w:rPr>
        <w:t>86</w:t>
      </w:r>
      <w:r>
        <w:rPr>
          <w:rFonts w:hint="eastAsia" w:cs="宋体"/>
          <w:color w:val="000000"/>
          <w:lang w:val="en-US" w:eastAsia="zh-CN" w:bidi="ar-SA"/>
        </w:rPr>
        <w:t>%）毕业生从事与所学</w:t>
      </w:r>
      <w:r>
        <w:rPr>
          <w:rFonts w:cs="宋体"/>
          <w:color w:val="000000"/>
          <w:lang w:val="en-US" w:eastAsia="zh-CN" w:bidi="ar-SA"/>
        </w:rPr>
        <w:t>专业相关</w:t>
      </w:r>
      <w:r>
        <w:rPr>
          <w:rFonts w:hint="eastAsia" w:cs="宋体"/>
          <w:color w:val="000000"/>
          <w:lang w:val="en-US" w:eastAsia="zh-CN" w:bidi="ar-SA"/>
        </w:rPr>
        <w:t>的</w:t>
      </w:r>
      <w:r>
        <w:rPr>
          <w:rFonts w:cs="宋体"/>
          <w:color w:val="000000"/>
          <w:lang w:val="en-US" w:eastAsia="zh-CN" w:bidi="ar-SA"/>
        </w:rPr>
        <w:t>工作</w:t>
      </w:r>
      <w:r>
        <w:rPr>
          <w:rFonts w:hint="eastAsia" w:cs="宋体"/>
          <w:color w:val="000000"/>
          <w:lang w:val="en-US" w:eastAsia="zh-CN" w:bidi="ar-SA"/>
        </w:rPr>
        <w:t>，反映出</w:t>
      </w:r>
      <w:r>
        <w:rPr>
          <w:rFonts w:hint="eastAsia" w:cs="宋体"/>
          <w:color w:val="000000"/>
          <w:lang w:val="en-US" w:bidi="ar-SA"/>
        </w:rPr>
        <w:t>我校</w:t>
      </w:r>
      <w:r>
        <w:rPr>
          <w:rFonts w:hint="eastAsia" w:cs="宋体"/>
          <w:color w:val="000000"/>
          <w:lang w:val="en-US" w:eastAsia="zh-CN" w:bidi="ar-SA"/>
        </w:rPr>
        <w:t>培养</w:t>
      </w:r>
      <w:r>
        <w:rPr>
          <w:rFonts w:hint="eastAsia" w:cs="宋体"/>
          <w:color w:val="000000"/>
          <w:lang w:val="en-US" w:bidi="ar-SA"/>
        </w:rPr>
        <w:t>目标</w:t>
      </w:r>
      <w:r>
        <w:rPr>
          <w:rFonts w:hint="eastAsia" w:cs="宋体"/>
          <w:color w:val="000000"/>
          <w:lang w:val="en-US" w:eastAsia="zh-CN" w:bidi="ar-SA"/>
        </w:rPr>
        <w:t>达成情况较好，大多数毕业生能够学以致用。自身就业感受方面，八成毕业生对就业感到满意，工作氛围、工作内容等获得毕业生普遍认可，大多数毕业生的就业感受较好。另外，毕业生</w:t>
      </w:r>
      <w:r>
        <w:rPr>
          <w:rFonts w:cs="宋体"/>
          <w:color w:val="000000"/>
          <w:lang w:val="en-US" w:eastAsia="zh-CN" w:bidi="ar-SA"/>
        </w:rPr>
        <w:t>的离职率</w:t>
      </w:r>
      <w:r>
        <w:rPr>
          <w:rFonts w:hint="eastAsia" w:cs="宋体"/>
          <w:color w:val="000000"/>
          <w:lang w:val="en-US" w:eastAsia="zh-CN" w:bidi="ar-SA"/>
        </w:rPr>
        <w:t>不足两成（</w:t>
      </w:r>
      <w:r>
        <w:rPr>
          <w:rFonts w:hint="eastAsia" w:cs="宋体"/>
          <w:color w:val="000000"/>
          <w:lang w:val="en-US" w:bidi="ar-SA"/>
        </w:rPr>
        <w:t>1</w:t>
      </w:r>
      <w:r>
        <w:rPr>
          <w:rFonts w:cs="宋体"/>
          <w:color w:val="000000"/>
          <w:lang w:val="en-US" w:bidi="ar-SA"/>
        </w:rPr>
        <w:t>9%</w:t>
      </w:r>
      <w:r>
        <w:rPr>
          <w:rFonts w:hint="eastAsia" w:cs="宋体"/>
          <w:color w:val="000000"/>
          <w:lang w:val="en-US" w:eastAsia="zh-CN" w:bidi="ar-SA"/>
        </w:rPr>
        <w:t>），我校毕业生就业稳定性较强。</w:t>
      </w:r>
    </w:p>
    <w:p>
      <w:pPr>
        <w:pStyle w:val="159"/>
        <w:numPr>
          <w:ilvl w:val="2"/>
          <w:numId w:val="12"/>
        </w:numPr>
        <w:spacing w:before="120" w:after="120"/>
        <w:ind w:left="0"/>
        <w:rPr>
          <w:rFonts w:cs="宋体"/>
          <w:color w:val="006699"/>
        </w:rPr>
      </w:pPr>
      <w:bookmarkStart w:id="39" w:name="_Toc153811524"/>
      <w:r>
        <w:rPr>
          <w:rFonts w:cs="宋体"/>
          <w:color w:val="006699"/>
        </w:rPr>
        <w:drawing>
          <wp:anchor distT="0" distB="0" distL="114300" distR="114300" simplePos="0" relativeHeight="251680768" behindDoc="1" locked="0" layoutInCell="1" allowOverlap="1">
            <wp:simplePos x="0" y="0"/>
            <wp:positionH relativeFrom="column">
              <wp:posOffset>1279525</wp:posOffset>
            </wp:positionH>
            <wp:positionV relativeFrom="paragraph">
              <wp:posOffset>36195</wp:posOffset>
            </wp:positionV>
            <wp:extent cx="471805" cy="334645"/>
            <wp:effectExtent l="0" t="0" r="0" b="0"/>
            <wp:wrapNone/>
            <wp:docPr id="1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专业相关度</w:t>
      </w:r>
      <w:bookmarkEnd w:id="39"/>
    </w:p>
    <w:p>
      <w:pPr>
        <w:pStyle w:val="161"/>
        <w:numPr>
          <w:ilvl w:val="4"/>
          <w:numId w:val="12"/>
        </w:numPr>
        <w:spacing w:line="320" w:lineRule="auto"/>
        <w:outlineLvl w:val="9"/>
        <w:rPr>
          <w:rFonts w:cs="宋体"/>
          <w:color w:val="006699"/>
        </w:rPr>
      </w:pPr>
      <w:r>
        <w:rPr>
          <w:rFonts w:cs="宋体"/>
          <w:color w:val="006699"/>
        </w:rPr>
        <w:t>毕业生的工作与专业相关度</w:t>
      </w:r>
    </w:p>
    <w:p>
      <w:pPr>
        <w:pStyle w:val="164"/>
        <w:keepNext/>
        <w:spacing w:line="360" w:lineRule="auto"/>
        <w:ind w:firstLine="420"/>
        <w:jc w:val="both"/>
        <w:rPr>
          <w:rFonts w:cs="宋体"/>
          <w:color w:val="000000"/>
          <w:lang w:val="en-US" w:eastAsia="zh-CN" w:bidi="ar-SA"/>
        </w:rPr>
      </w:pPr>
      <w:r>
        <w:rPr>
          <w:rFonts w:hint="eastAsia" w:cs="宋体"/>
          <w:b/>
          <w:bCs/>
          <w:color w:val="000000"/>
          <w:lang w:val="en-US" w:eastAsia="zh-CN" w:bidi="ar-SA"/>
        </w:rPr>
        <w:t>近九</w:t>
      </w:r>
      <w:r>
        <w:rPr>
          <w:rFonts w:cs="宋体"/>
          <w:b/>
          <w:bCs/>
          <w:color w:val="000000"/>
          <w:lang w:val="en-US" w:eastAsia="zh-CN" w:bidi="ar-SA"/>
        </w:rPr>
        <w:t>成毕业生就业</w:t>
      </w:r>
      <w:r>
        <w:rPr>
          <w:rFonts w:hint="eastAsia" w:cs="宋体"/>
          <w:b/>
          <w:bCs/>
          <w:color w:val="000000"/>
          <w:lang w:val="en-US" w:eastAsia="zh-CN" w:bidi="ar-SA"/>
        </w:rPr>
        <w:t>岗位</w:t>
      </w:r>
      <w:r>
        <w:rPr>
          <w:rFonts w:cs="宋体"/>
          <w:b/>
          <w:bCs/>
          <w:color w:val="000000"/>
          <w:lang w:val="en-US" w:eastAsia="zh-CN" w:bidi="ar-SA"/>
        </w:rPr>
        <w:t>与</w:t>
      </w:r>
      <w:r>
        <w:rPr>
          <w:rFonts w:hint="eastAsia" w:cs="宋体"/>
          <w:b/>
          <w:bCs/>
          <w:color w:val="000000"/>
          <w:lang w:val="en-US" w:eastAsia="zh-CN" w:bidi="ar-SA"/>
        </w:rPr>
        <w:t>所学</w:t>
      </w:r>
      <w:r>
        <w:rPr>
          <w:rFonts w:cs="宋体"/>
          <w:b/>
          <w:bCs/>
          <w:color w:val="000000"/>
          <w:lang w:val="en-US" w:eastAsia="zh-CN" w:bidi="ar-SA"/>
        </w:rPr>
        <w:t>专业对口。</w:t>
      </w:r>
      <w:r>
        <w:rPr>
          <w:rFonts w:cs="宋体"/>
          <w:color w:val="000000"/>
          <w:lang w:val="en-US" w:eastAsia="zh-CN" w:bidi="ar-SA"/>
        </w:rPr>
        <w:t>从事工作与所学专业相关的比例是反映就业质量与专业培养目标达成效果的重要指标。我校2023届</w:t>
      </w:r>
      <w:r>
        <w:rPr>
          <w:rFonts w:hint="eastAsia" w:cs="宋体"/>
          <w:color w:val="000000"/>
          <w:lang w:val="en-US" w:eastAsia="zh-CN" w:bidi="ar-SA"/>
        </w:rPr>
        <w:t>本科</w:t>
      </w:r>
      <w:r>
        <w:rPr>
          <w:rFonts w:cs="宋体"/>
          <w:color w:val="000000"/>
          <w:lang w:val="en-US" w:eastAsia="zh-CN" w:bidi="ar-SA"/>
        </w:rPr>
        <w:t>毕业生的工作与专业相关度为86%，毕业生从事工作与所学专业的匹配度较高。</w:t>
      </w:r>
    </w:p>
    <w:p>
      <w:pPr>
        <w:jc w:val="center"/>
        <w:rPr>
          <w:rFonts w:cs="宋体"/>
          <w:color w:val="000000"/>
        </w:rPr>
      </w:pPr>
      <w:r>
        <w:drawing>
          <wp:inline distT="0" distB="0" distL="0" distR="0">
            <wp:extent cx="2038350" cy="2143125"/>
            <wp:effectExtent l="0" t="0" r="0" b="0"/>
            <wp:docPr id="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5"/>
                    <pic:cNvPicPr>
                      <a:picLocks noChangeAspect="1" noChangeArrowheads="1"/>
                    </pic:cNvPicPr>
                  </pic:nvPicPr>
                  <pic:blipFill>
                    <a:blip r:embed="rId27">
                      <a:extLst>
                        <a:ext uri="{28A0092B-C50C-407E-A947-70E740481C1C}">
                          <a14:useLocalDpi xmlns:a14="http://schemas.microsoft.com/office/drawing/2010/main" val="0"/>
                        </a:ext>
                      </a:extLst>
                    </a:blip>
                    <a:srcRect t="18359" b="7869"/>
                    <a:stretch>
                      <a:fillRect/>
                    </a:stretch>
                  </pic:blipFill>
                  <pic:spPr>
                    <a:xfrm>
                      <a:off x="0" y="0"/>
                      <a:ext cx="2038350" cy="2143125"/>
                    </a:xfrm>
                    <a:prstGeom prst="rect">
                      <a:avLst/>
                    </a:prstGeom>
                    <a:noFill/>
                    <a:ln>
                      <a:noFill/>
                    </a:ln>
                  </pic:spPr>
                </pic:pic>
              </a:graphicData>
            </a:graphic>
          </wp:inline>
        </w:drawing>
      </w:r>
    </w:p>
    <w:p>
      <w:pPr>
        <w:pStyle w:val="163"/>
        <w:keepNext w:val="0"/>
        <w:numPr>
          <w:ilvl w:val="7"/>
          <w:numId w:val="12"/>
        </w:numPr>
        <w:spacing w:before="80" w:line="360" w:lineRule="auto"/>
        <w:ind w:left="420" w:hanging="420"/>
        <w:rPr>
          <w:rFonts w:cs="宋体"/>
          <w:color w:val="000000"/>
        </w:rPr>
      </w:pPr>
      <w:bookmarkStart w:id="40" w:name="_Toc153811573"/>
      <w:r>
        <w:rPr>
          <w:rFonts w:cs="宋体"/>
          <w:color w:val="000000"/>
        </w:rPr>
        <w:t>毕业生的工作与专业相关度</w:t>
      </w:r>
      <w:bookmarkEnd w:id="40"/>
    </w:p>
    <w:p>
      <w:pPr>
        <w:pStyle w:val="165"/>
        <w:spacing w:line="360" w:lineRule="auto"/>
        <w:rPr>
          <w:rFonts w:hint="eastAsia" w:eastAsia="宋体" w:cs="宋体"/>
          <w:color w:val="000000"/>
          <w:sz w:val="18"/>
          <w:lang w:eastAsia="zh-CN"/>
        </w:rPr>
        <w:sectPr>
          <w:footnotePr>
            <w:numRestart w:val="eachPage"/>
          </w:footnotePr>
          <w:pgSz w:w="11906" w:h="16838"/>
          <w:pgMar w:top="1984" w:right="1531" w:bottom="1701" w:left="1701" w:header="992" w:footer="850" w:gutter="0"/>
          <w:cols w:space="708" w:num="1"/>
          <w:docGrid w:linePitch="360" w:charSpace="0"/>
        </w:sectPr>
      </w:pPr>
      <w:r>
        <w:rPr>
          <w:rFonts w:cs="宋体"/>
          <w:color w:val="000000"/>
        </w:rPr>
        <w:t>数据来源：麦可思-天津中医药大学2023届毕业生培养质量评价数据</w:t>
      </w:r>
    </w:p>
    <w:p>
      <w:pPr>
        <w:pStyle w:val="159"/>
        <w:numPr>
          <w:ilvl w:val="2"/>
          <w:numId w:val="12"/>
        </w:numPr>
        <w:spacing w:before="120" w:after="120"/>
        <w:ind w:left="0"/>
        <w:rPr>
          <w:rFonts w:cs="宋体"/>
          <w:color w:val="006699"/>
        </w:rPr>
      </w:pPr>
      <w:bookmarkStart w:id="105" w:name="_GoBack"/>
      <w:bookmarkEnd w:id="105"/>
      <w:bookmarkStart w:id="41" w:name="_Toc153811526"/>
      <w:r>
        <w:rPr>
          <w:rFonts w:cs="宋体"/>
          <w:color w:val="006699"/>
        </w:rPr>
        <w:drawing>
          <wp:anchor distT="0" distB="0" distL="114300" distR="114300" simplePos="0" relativeHeight="251681792" behindDoc="1" locked="0" layoutInCell="1" allowOverlap="1">
            <wp:simplePos x="0" y="0"/>
            <wp:positionH relativeFrom="column">
              <wp:posOffset>1279525</wp:posOffset>
            </wp:positionH>
            <wp:positionV relativeFrom="paragraph">
              <wp:posOffset>36195</wp:posOffset>
            </wp:positionV>
            <wp:extent cx="471805" cy="334645"/>
            <wp:effectExtent l="0" t="0" r="0" b="0"/>
            <wp:wrapNone/>
            <wp:docPr id="12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就业稳定性</w:t>
      </w:r>
      <w:bookmarkEnd w:id="41"/>
    </w:p>
    <w:p>
      <w:pPr>
        <w:pStyle w:val="161"/>
        <w:numPr>
          <w:ilvl w:val="4"/>
          <w:numId w:val="12"/>
        </w:numPr>
        <w:spacing w:line="320" w:lineRule="auto"/>
        <w:outlineLvl w:val="9"/>
        <w:rPr>
          <w:rFonts w:cs="宋体"/>
          <w:color w:val="006699"/>
        </w:rPr>
      </w:pPr>
      <w:r>
        <w:rPr>
          <w:rFonts w:cs="宋体"/>
          <w:color w:val="006699"/>
        </w:rPr>
        <w:t>毕业生的离职率</w:t>
      </w:r>
    </w:p>
    <w:p>
      <w:pPr>
        <w:pStyle w:val="164"/>
        <w:keepNext/>
        <w:spacing w:line="360" w:lineRule="auto"/>
        <w:ind w:firstLine="420"/>
        <w:jc w:val="both"/>
        <w:rPr>
          <w:rFonts w:cs="宋体"/>
          <w:color w:val="000000"/>
          <w:lang w:val="en-US" w:eastAsia="zh-CN" w:bidi="ar-SA"/>
        </w:rPr>
      </w:pPr>
      <w:r>
        <w:rPr>
          <w:rFonts w:cs="宋体"/>
          <w:b/>
          <w:bCs/>
          <w:color w:val="000000"/>
          <w:lang w:val="en-US" w:eastAsia="zh-CN" w:bidi="ar-SA"/>
        </w:rPr>
        <w:t>毕业生就业稳定性较强。</w:t>
      </w:r>
      <w:r>
        <w:rPr>
          <w:rFonts w:cs="宋体"/>
          <w:color w:val="000000"/>
          <w:lang w:val="en-US" w:eastAsia="zh-CN" w:bidi="ar-SA"/>
        </w:rPr>
        <w:t>就业稳定性以离职率为衡量，就业稳定性是反映毕业生踏入职场初期的稳定程度，我校2023届</w:t>
      </w:r>
      <w:r>
        <w:rPr>
          <w:rFonts w:hint="eastAsia" w:cs="宋体"/>
          <w:color w:val="000000"/>
          <w:lang w:val="en-US" w:eastAsia="zh-CN" w:bidi="ar-SA"/>
        </w:rPr>
        <w:t>本科</w:t>
      </w:r>
      <w:r>
        <w:rPr>
          <w:rFonts w:cs="宋体"/>
          <w:color w:val="000000"/>
          <w:lang w:val="en-US" w:eastAsia="zh-CN" w:bidi="ar-SA"/>
        </w:rPr>
        <w:t>毕业生的离职率为19%，毕业生初期就业较为稳定。</w:t>
      </w:r>
    </w:p>
    <w:p>
      <w:pPr>
        <w:jc w:val="center"/>
        <w:rPr>
          <w:rFonts w:cs="宋体"/>
          <w:color w:val="000000"/>
        </w:rPr>
      </w:pPr>
      <w:r>
        <w:drawing>
          <wp:inline distT="0" distB="0" distL="0" distR="0">
            <wp:extent cx="2524125" cy="3600450"/>
            <wp:effectExtent l="0" t="0" r="0" b="0"/>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24125" cy="36004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42" w:name="_Toc153811575"/>
      <w:r>
        <w:rPr>
          <w:rFonts w:cs="宋体"/>
          <w:color w:val="000000"/>
        </w:rPr>
        <w:t>毕业生的离职率</w:t>
      </w:r>
      <w:bookmarkEnd w:id="42"/>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18"/>
        </w:rPr>
      </w:pPr>
    </w:p>
    <w:p>
      <w:pPr>
        <w:rPr>
          <w:rFonts w:cs="宋体"/>
          <w:sz w:val="18"/>
        </w:rPr>
        <w:sectPr>
          <w:footnotePr>
            <w:numRestart w:val="eachPage"/>
          </w:footnotePr>
          <w:pgSz w:w="11906" w:h="16838"/>
          <w:pgMar w:top="1984" w:right="1531" w:bottom="1701" w:left="1701" w:header="992" w:footer="850" w:gutter="0"/>
          <w:cols w:space="708" w:num="1"/>
          <w:docGrid w:linePitch="360" w:charSpace="0"/>
        </w:sectPr>
      </w:pPr>
    </w:p>
    <w:p>
      <w:p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83840" behindDoc="0" locked="0" layoutInCell="1" allowOverlap="1">
                <wp:simplePos x="0" y="0"/>
                <wp:positionH relativeFrom="page">
                  <wp:posOffset>295275</wp:posOffset>
                </wp:positionH>
                <wp:positionV relativeFrom="page">
                  <wp:posOffset>4532630</wp:posOffset>
                </wp:positionV>
                <wp:extent cx="5184140" cy="460375"/>
                <wp:effectExtent l="0" t="0" r="0" b="0"/>
                <wp:wrapNone/>
                <wp:docPr id="681269136" name="Rectangle 100004"/>
                <wp:cNvGraphicFramePr/>
                <a:graphic xmlns:a="http://schemas.openxmlformats.org/drawingml/2006/main">
                  <a:graphicData uri="http://schemas.microsoft.com/office/word/2010/wordprocessingShape">
                    <wps:wsp>
                      <wps:cNvSpPr>
                        <a:spLocks noChangeArrowheads="1"/>
                      </wps:cNvSpPr>
                      <wps:spPr bwMode="auto">
                        <a:xfrm>
                          <a:off x="0" y="0"/>
                          <a:ext cx="5184140"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23.25pt;margin-top:356.9pt;height:36.25pt;width:408.2pt;mso-position-horizontal-relative:page;mso-position-vertical-relative:page;z-index:251683840;v-text-anchor:middle;mso-width-relative:page;mso-height-relative:page;" fillcolor="#579DC2" filled="t" stroked="f" coordsize="21600,21600" o:gfxdata="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OZ4z/a&#10;AAAACgEAAA8AAAAAAAAAAQAgAAAAIgAAAGRycy9kb3ducmV2LnhtbFBLAQIUABQAAAAIAIdO4kCr&#10;niF5HgIAADgEAAAOAAAAAAAAAAEAIAAAACkBAABkcnMvZTJvRG9jLnhtbFBLBQYAAAAABgAGAFkB&#10;AAC5BQAAAAA=&#10;">
                <v:fill on="t" focussize="0,0"/>
                <v:stroke on="f"/>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page">
                  <wp:posOffset>320675</wp:posOffset>
                </wp:positionH>
                <wp:positionV relativeFrom="page">
                  <wp:posOffset>3888105</wp:posOffset>
                </wp:positionV>
                <wp:extent cx="5183505" cy="1080135"/>
                <wp:effectExtent l="0" t="1905" r="1270" b="3810"/>
                <wp:wrapNone/>
                <wp:docPr id="1488223430"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5183505"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就业发展趋势分析</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25.25pt;margin-top:306.15pt;height:85.05pt;width:408.15pt;mso-position-horizontal-relative:page;mso-position-vertical-relative:page;z-index:251684864;mso-width-relative:page;mso-height-relative:page;" filled="f" stroked="f" coordsize="21600,21600" o:gfxdata="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3BDhjXAAAACgEAAA8AAAAAAAAA&#10;AQAgAAAAIgAAAGRycy9kb3ducmV2LnhtbFBLAQIUABQAAAAIAIdO4kA1A5UGEgIAACIEAAAOAAAA&#10;AAAAAAEAIAAAACYBAABkcnMvZTJvRG9jLnhtbFBLBQYAAAAABgAGAFkBAACqBQ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就业发展趋势分析</w:t>
                      </w:r>
                    </w:p>
                  </w:txbxContent>
                </v:textbox>
              </v:shape>
            </w:pict>
          </mc:Fallback>
        </mc:AlternateContent>
      </w:r>
      <w:r>
        <w:drawing>
          <wp:anchor distT="0" distB="0" distL="114300" distR="114300" simplePos="0" relativeHeight="251684864" behindDoc="1" locked="0" layoutInCell="1" allowOverlap="1">
            <wp:simplePos x="0" y="0"/>
            <wp:positionH relativeFrom="page">
              <wp:posOffset>0</wp:posOffset>
            </wp:positionH>
            <wp:positionV relativeFrom="page">
              <wp:posOffset>0</wp:posOffset>
            </wp:positionV>
            <wp:extent cx="7560310" cy="10692130"/>
            <wp:effectExtent l="0" t="0" r="0" b="0"/>
            <wp:wrapNone/>
            <wp:docPr id="13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8"/>
        <w:numPr>
          <w:ilvl w:val="1"/>
          <w:numId w:val="12"/>
        </w:numPr>
        <w:ind w:left="0" w:firstLine="0"/>
        <w:jc w:val="center"/>
        <w:rPr>
          <w:rFonts w:cs="宋体"/>
          <w:color w:val="006699"/>
        </w:rPr>
      </w:pPr>
      <w:bookmarkStart w:id="43" w:name="_Toc153811528"/>
      <w:bookmarkStart w:id="44" w:name="_Toc153811579"/>
      <w:r>
        <w:rPr>
          <w:rFonts w:cs="宋体"/>
          <w:color w:val="006699"/>
        </w:rPr>
        <w:t>就业发展趋势分析</w:t>
      </w:r>
      <w:bookmarkEnd w:id="43"/>
      <w:bookmarkEnd w:id="44"/>
    </w:p>
    <w:p>
      <w:pPr>
        <w:pStyle w:val="164"/>
        <w:spacing w:line="360" w:lineRule="auto"/>
        <w:ind w:firstLine="420"/>
        <w:jc w:val="both"/>
        <w:rPr>
          <w:rFonts w:cs="宋体"/>
          <w:color w:val="000000"/>
          <w:lang w:val="en-US" w:bidi="ar-SA"/>
        </w:rPr>
      </w:pPr>
      <w:r>
        <w:rPr>
          <w:rFonts w:cs="宋体"/>
          <w:b/>
          <w:color w:val="006699"/>
          <w:sz w:val="44"/>
        </w:rPr>
        <w:drawing>
          <wp:anchor distT="0" distB="0" distL="114300" distR="114300" simplePos="0" relativeHeight="251685888" behindDoc="1" locked="0" layoutInCell="1" allowOverlap="1">
            <wp:simplePos x="0" y="0"/>
            <wp:positionH relativeFrom="margin">
              <wp:posOffset>467995</wp:posOffset>
            </wp:positionH>
            <wp:positionV relativeFrom="margin">
              <wp:posOffset>-179705</wp:posOffset>
            </wp:positionV>
            <wp:extent cx="590550" cy="619125"/>
            <wp:effectExtent l="0" t="0" r="0" b="0"/>
            <wp:wrapNone/>
            <wp:docPr id="13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0550" cy="619125"/>
                    </a:xfrm>
                    <a:prstGeom prst="rect">
                      <a:avLst/>
                    </a:prstGeom>
                    <a:noFill/>
                  </pic:spPr>
                </pic:pic>
              </a:graphicData>
            </a:graphic>
          </wp:anchor>
        </w:drawing>
      </w:r>
      <w:r>
        <w:rPr>
          <w:rFonts w:cs="宋体"/>
          <w:color w:val="000000"/>
          <w:lang w:val="en-US" w:eastAsia="zh-CN" w:bidi="ar-SA"/>
        </w:rPr>
        <w:t>本章对我校毕业生就业数据进行趋势性分析，以便能更好地把握市场变化规律、学生择业观与就业预期变化，进一步提升就业工作成效。</w:t>
      </w:r>
    </w:p>
    <w:p>
      <w:pPr>
        <w:pStyle w:val="164"/>
        <w:keepNext/>
        <w:spacing w:line="360" w:lineRule="auto"/>
        <w:ind w:firstLine="420"/>
        <w:jc w:val="both"/>
        <w:rPr>
          <w:rFonts w:hint="eastAsia" w:cs="宋体"/>
          <w:color w:val="000000"/>
          <w:lang w:val="zh-CN" w:eastAsia="zh-CN" w:bidi="ar-SA"/>
        </w:rPr>
      </w:pPr>
      <w:r>
        <w:rPr>
          <w:rFonts w:hint="eastAsia" w:cs="宋体"/>
          <w:color w:val="000000"/>
          <w:lang w:val="en-US" w:eastAsia="zh-CN" w:bidi="ar-SA"/>
        </w:rPr>
        <w:t>数据来源于天津市高校毕业生就业管理系统、麦可思</w:t>
      </w:r>
      <w:r>
        <w:rPr>
          <w:rFonts w:cs="宋体"/>
          <w:color w:val="000000"/>
          <w:lang w:val="en-US" w:eastAsia="zh-CN" w:bidi="ar-SA"/>
        </w:rPr>
        <w:t>-</w:t>
      </w:r>
      <w:r>
        <w:rPr>
          <w:rFonts w:hint="eastAsia" w:cs="宋体"/>
          <w:color w:val="000000"/>
          <w:lang w:val="en-US" w:eastAsia="zh-CN" w:bidi="ar-SA"/>
        </w:rPr>
        <w:t>天津中医药大学</w:t>
      </w:r>
      <w:r>
        <w:rPr>
          <w:rFonts w:cs="宋体"/>
          <w:color w:val="000000"/>
          <w:lang w:val="en-US" w:eastAsia="zh-CN" w:bidi="ar-SA"/>
        </w:rPr>
        <w:t>2023</w:t>
      </w:r>
      <w:r>
        <w:rPr>
          <w:rFonts w:hint="eastAsia" w:cs="宋体"/>
          <w:color w:val="000000"/>
          <w:lang w:val="en-US" w:eastAsia="zh-CN" w:bidi="ar-SA"/>
        </w:rPr>
        <w:t>届本科毕业生培养质量评价数据。调研数据面向全校</w:t>
      </w:r>
      <w:r>
        <w:rPr>
          <w:rFonts w:cs="宋体"/>
          <w:color w:val="000000"/>
          <w:lang w:val="en-US" w:eastAsia="zh-CN" w:bidi="ar-SA"/>
        </w:rPr>
        <w:t>2023</w:t>
      </w:r>
      <w:r>
        <w:rPr>
          <w:rFonts w:hint="eastAsia" w:cs="宋体"/>
          <w:color w:val="000000"/>
          <w:lang w:val="en-US" w:eastAsia="zh-CN" w:bidi="ar-SA"/>
        </w:rPr>
        <w:t>届本科毕业生，截至</w:t>
      </w:r>
      <w:r>
        <w:rPr>
          <w:rFonts w:cs="宋体"/>
          <w:color w:val="000000"/>
          <w:lang w:val="en-US" w:eastAsia="zh-CN" w:bidi="ar-SA"/>
        </w:rPr>
        <w:t>2023</w:t>
      </w:r>
      <w:r>
        <w:rPr>
          <w:rFonts w:hint="eastAsia" w:cs="宋体"/>
          <w:color w:val="000000"/>
          <w:lang w:val="en-US" w:eastAsia="zh-CN" w:bidi="ar-SA"/>
        </w:rPr>
        <w:t>年</w:t>
      </w:r>
      <w:r>
        <w:rPr>
          <w:rFonts w:cs="宋体"/>
          <w:color w:val="000000"/>
          <w:lang w:val="en-US" w:eastAsia="zh-CN" w:bidi="ar-SA"/>
        </w:rPr>
        <w:t>12</w:t>
      </w:r>
      <w:r>
        <w:rPr>
          <w:rFonts w:hint="eastAsia" w:cs="宋体"/>
          <w:color w:val="000000"/>
          <w:lang w:val="en-US" w:eastAsia="zh-CN" w:bidi="ar-SA"/>
        </w:rPr>
        <w:t>月</w:t>
      </w:r>
      <w:r>
        <w:rPr>
          <w:rFonts w:cs="宋体"/>
          <w:color w:val="000000"/>
          <w:lang w:val="en-US" w:eastAsia="zh-CN" w:bidi="ar-SA"/>
        </w:rPr>
        <w:t>1</w:t>
      </w:r>
      <w:r>
        <w:rPr>
          <w:rFonts w:hint="eastAsia" w:cs="宋体"/>
          <w:color w:val="000000"/>
          <w:lang w:val="en-US" w:eastAsia="zh-CN" w:bidi="ar-SA"/>
        </w:rPr>
        <w:t>日，</w:t>
      </w:r>
      <w:r>
        <w:rPr>
          <w:rFonts w:hint="eastAsia" w:cs="宋体"/>
          <w:color w:val="000000"/>
          <w:szCs w:val="60"/>
        </w:rPr>
        <w:t>共回收有效问卷</w:t>
      </w:r>
      <w:r>
        <w:rPr>
          <w:rFonts w:cs="宋体"/>
          <w:color w:val="000000"/>
          <w:szCs w:val="60"/>
        </w:rPr>
        <w:t>1533</w:t>
      </w:r>
      <w:r>
        <w:rPr>
          <w:rFonts w:hint="eastAsia" w:cs="宋体"/>
          <w:color w:val="000000"/>
          <w:szCs w:val="60"/>
        </w:rPr>
        <w:t>份，回收问卷数量占毕业生总人数的</w:t>
      </w:r>
      <w:r>
        <w:rPr>
          <w:color w:val="000000"/>
          <w:szCs w:val="21"/>
        </w:rPr>
        <w:t>59.2%</w:t>
      </w:r>
      <w:r>
        <w:rPr>
          <w:rFonts w:hint="eastAsia" w:cs="宋体"/>
          <w:color w:val="000000"/>
          <w:szCs w:val="60"/>
        </w:rPr>
        <w:t>，</w:t>
      </w:r>
      <w:r>
        <w:rPr>
          <w:rFonts w:hint="eastAsia" w:cs="宋体"/>
          <w:color w:val="000000"/>
        </w:rPr>
        <w:t>由于调研口径、调研参与率等因素，与学校初次毕业去向落实率截点的统计有一定的差异</w:t>
      </w:r>
      <w:r>
        <w:rPr>
          <w:rFonts w:hint="eastAsia" w:cs="宋体"/>
          <w:color w:val="000000"/>
          <w:lang w:val="en-US" w:eastAsia="zh-CN" w:bidi="ar-SA"/>
        </w:rPr>
        <w:t>。</w:t>
      </w:r>
    </w:p>
    <w:p>
      <w:pPr>
        <w:pStyle w:val="159"/>
        <w:keepNext w:val="0"/>
        <w:widowControl/>
        <w:numPr>
          <w:ilvl w:val="2"/>
          <w:numId w:val="14"/>
        </w:numPr>
        <w:spacing w:before="120" w:after="120"/>
        <w:ind w:left="-502" w:leftChars="-239"/>
        <w:rPr>
          <w:rFonts w:cs="宋体"/>
          <w:color w:val="006699"/>
        </w:rPr>
      </w:pPr>
      <w:bookmarkStart w:id="45" w:name="_Toc152007791"/>
      <w:bookmarkStart w:id="46" w:name="_Toc153811529"/>
      <w:r>
        <w:drawing>
          <wp:anchor distT="0" distB="0" distL="114300" distR="114300" simplePos="0" relativeHeight="251702272" behindDoc="1" locked="0" layoutInCell="1" allowOverlap="1">
            <wp:simplePos x="0" y="0"/>
            <wp:positionH relativeFrom="column">
              <wp:posOffset>0</wp:posOffset>
            </wp:positionH>
            <wp:positionV relativeFrom="paragraph">
              <wp:posOffset>36195</wp:posOffset>
            </wp:positionV>
            <wp:extent cx="471805" cy="334645"/>
            <wp:effectExtent l="0" t="0" r="0" b="0"/>
            <wp:wrapNone/>
            <wp:docPr id="22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hint="eastAsia" w:cs="宋体"/>
          <w:color w:val="006699"/>
          <w:lang w:eastAsia="zh-CN"/>
        </w:rPr>
        <w:t>就业工作成效显著，毕业生就业落实充分</w:t>
      </w:r>
      <w:bookmarkEnd w:id="45"/>
      <w:bookmarkEnd w:id="46"/>
    </w:p>
    <w:p>
      <w:pPr>
        <w:pStyle w:val="34"/>
        <w:keepNext/>
        <w:keepLines/>
        <w:spacing w:after="0"/>
        <w:ind w:firstLine="420"/>
        <w:rPr>
          <w:rFonts w:cs="宋体"/>
        </w:rPr>
      </w:pPr>
      <w:r>
        <w:rPr>
          <w:rFonts w:hint="eastAsia" w:hAnsi="宋体" w:cs="Times New Roman"/>
        </w:rPr>
        <w:t>为保障毕业生更高质量就业和更充分就业目标的实现，学校积极贯彻落实国家、教育部以及河北省关于促进高校毕业生就业创业工作的决策部署，将毕业生就业工作放在学校工作的突出位置，多措并举、多方发力保障毕业生充分就业目标的实现。</w:t>
      </w:r>
      <w:r>
        <w:rPr>
          <w:rFonts w:hint="eastAsia"/>
        </w:rPr>
        <w:t>我校近三届本科毕业生</w:t>
      </w:r>
      <w:r>
        <w:rPr>
          <w:rFonts w:hint="eastAsia"/>
          <w:lang w:val="en-US" w:eastAsia="zh-CN"/>
        </w:rPr>
        <w:t>截止至每年9月1日</w:t>
      </w:r>
      <w:r>
        <w:rPr>
          <w:rFonts w:hint="eastAsia"/>
        </w:rPr>
        <w:t>的就业去向落实率均在8</w:t>
      </w:r>
      <w:r>
        <w:t>5</w:t>
      </w:r>
      <w:r>
        <w:rPr>
          <w:rFonts w:hint="eastAsia"/>
        </w:rPr>
        <w:t>%以上，</w:t>
      </w:r>
      <w:r>
        <w:rPr>
          <w:rFonts w:hint="eastAsia" w:cs="宋体"/>
        </w:rPr>
        <w:t>毕业生</w:t>
      </w:r>
      <w:r>
        <w:rPr>
          <w:rFonts w:hint="eastAsia"/>
        </w:rPr>
        <w:t>就业落实相对充分</w:t>
      </w:r>
      <w:r>
        <w:rPr>
          <w:rFonts w:hint="eastAsia" w:cs="宋体"/>
        </w:rPr>
        <w:t>，去向落实情况较好。</w:t>
      </w:r>
    </w:p>
    <w:p>
      <w:pPr>
        <w:jc w:val="center"/>
        <w:rPr>
          <w:rFonts w:cs="宋体"/>
          <w:color w:val="000000"/>
        </w:rPr>
      </w:pPr>
      <w:r>
        <w:drawing>
          <wp:inline distT="0" distB="0" distL="0" distR="0">
            <wp:extent cx="5219700" cy="2524125"/>
            <wp:effectExtent l="0" t="0" r="0" b="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19700" cy="25241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47" w:name="_Toc153811580"/>
      <w:r>
        <w:rPr>
          <w:rFonts w:hint="eastAsia" w:cs="宋体"/>
          <w:color w:val="000000"/>
          <w:lang w:val="en-US" w:eastAsia="zh-CN"/>
        </w:rPr>
        <w:t>9月1日</w:t>
      </w:r>
      <w:r>
        <w:rPr>
          <w:rFonts w:cs="宋体"/>
          <w:color w:val="000000"/>
        </w:rPr>
        <w:t>业去向落实率变化趋势</w:t>
      </w:r>
      <w:bookmarkEnd w:id="47"/>
    </w:p>
    <w:p>
      <w:pPr>
        <w:pStyle w:val="165"/>
        <w:spacing w:line="360" w:lineRule="auto"/>
        <w:rPr>
          <w:rFonts w:cs="宋体"/>
          <w:color w:val="000000"/>
        </w:rPr>
      </w:pPr>
      <w:r>
        <w:rPr>
          <w:rFonts w:hint="eastAsia" w:cs="宋体"/>
          <w:color w:val="000000"/>
        </w:rPr>
        <w:t>数据来源：天津市高校毕业生就业管理系统</w:t>
      </w:r>
      <w:r>
        <w:rPr>
          <w:rFonts w:cs="宋体"/>
          <w:color w:val="000000"/>
        </w:rPr>
        <w:t>。</w:t>
      </w:r>
    </w:p>
    <w:p>
      <w:pPr>
        <w:widowControl/>
        <w:jc w:val="left"/>
        <w:rPr>
          <w:rFonts w:hint="eastAsia"/>
        </w:rPr>
        <w:sectPr>
          <w:footnotePr>
            <w:numRestart w:val="eachPage"/>
          </w:footnotePr>
          <w:pgSz w:w="11906" w:h="16838"/>
          <w:pgMar w:top="1984" w:right="1531" w:bottom="1701" w:left="1701" w:header="992" w:footer="850" w:gutter="0"/>
          <w:cols w:space="720" w:num="1"/>
        </w:sectPr>
      </w:pPr>
    </w:p>
    <w:p>
      <w:pPr>
        <w:pStyle w:val="159"/>
        <w:widowControl/>
        <w:numPr>
          <w:ilvl w:val="2"/>
          <w:numId w:val="14"/>
        </w:numPr>
        <w:spacing w:before="120" w:after="120"/>
        <w:ind w:left="142" w:leftChars="-338" w:hanging="852"/>
        <w:rPr>
          <w:rFonts w:cs="宋体"/>
          <w:color w:val="006699"/>
        </w:rPr>
      </w:pPr>
      <w:bookmarkStart w:id="48" w:name="_Toc152007792"/>
      <w:bookmarkStart w:id="49" w:name="_Toc153811530"/>
      <w:r>
        <w:drawing>
          <wp:anchor distT="0" distB="0" distL="114300" distR="114300" simplePos="0" relativeHeight="251703296" behindDoc="1" locked="0" layoutInCell="1" allowOverlap="1">
            <wp:simplePos x="0" y="0"/>
            <wp:positionH relativeFrom="column">
              <wp:posOffset>0</wp:posOffset>
            </wp:positionH>
            <wp:positionV relativeFrom="paragraph">
              <wp:posOffset>36195</wp:posOffset>
            </wp:positionV>
            <wp:extent cx="471805" cy="334645"/>
            <wp:effectExtent l="0" t="0" r="0" b="0"/>
            <wp:wrapNone/>
            <wp:docPr id="2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hint="eastAsia" w:cs="宋体"/>
          <w:color w:val="006699"/>
          <w:lang w:eastAsia="zh-CN"/>
        </w:rPr>
        <w:t>健康天津建设促进毕业生留津发展</w:t>
      </w:r>
      <w:bookmarkEnd w:id="48"/>
      <w:bookmarkEnd w:id="49"/>
    </w:p>
    <w:p>
      <w:pPr>
        <w:keepNext/>
        <w:keepLines/>
        <w:ind w:firstLine="420"/>
        <w:rPr>
          <w:rFonts w:hAnsi="宋体"/>
        </w:rPr>
      </w:pPr>
      <w:r>
        <w:rPr>
          <w:rFonts w:hint="eastAsia" w:hAnsi="宋体"/>
        </w:rPr>
        <w:t>天津市卫生健康委印发的《天津市卫生健康事业发展</w:t>
      </w:r>
      <w:r>
        <w:rPr>
          <w:rFonts w:hint="eastAsia" w:ascii="宋体" w:hAnsi="宋体"/>
        </w:rPr>
        <w:t>“</w:t>
      </w:r>
      <w:r>
        <w:rPr>
          <w:rFonts w:hint="eastAsia" w:hAnsi="宋体"/>
        </w:rPr>
        <w:t>十四五</w:t>
      </w:r>
      <w:r>
        <w:rPr>
          <w:rFonts w:hint="eastAsia" w:ascii="宋体" w:hAnsi="宋体"/>
        </w:rPr>
        <w:t>”</w:t>
      </w:r>
      <w:r>
        <w:rPr>
          <w:rFonts w:hint="eastAsia" w:hAnsi="宋体"/>
        </w:rPr>
        <w:t>规划》指出，到</w:t>
      </w:r>
      <w:r>
        <w:rPr>
          <w:rFonts w:hAnsi="宋体"/>
        </w:rPr>
        <w:t>2025</w:t>
      </w:r>
      <w:r>
        <w:rPr>
          <w:rFonts w:hint="eastAsia" w:hAnsi="宋体"/>
        </w:rPr>
        <w:t>年，公共卫生服务体系要更加健全、医疗服务体系要更加完善、中医医疗服务体系要更加完备、健康服务质量要进一步提升、健康服务模式要持续创新。作为中医药院校，我校积极主动适应医疗体系对专业人才的需求、中医药领域对创新人才的需求，立足自身优势，服务地方医疗卫生事业发展。</w:t>
      </w:r>
    </w:p>
    <w:p>
      <w:pPr>
        <w:keepNext/>
        <w:keepLines/>
        <w:ind w:firstLine="420"/>
        <w:rPr>
          <w:rFonts w:hAnsi="宋体"/>
        </w:rPr>
      </w:pPr>
      <w:r>
        <w:rPr>
          <w:rFonts w:hint="eastAsia" w:hAnsi="宋体"/>
        </w:rPr>
        <w:t>我校始终坚持</w:t>
      </w:r>
      <w:r>
        <w:rPr>
          <w:rFonts w:hint="eastAsia" w:ascii="宋体" w:hAnsi="宋体"/>
        </w:rPr>
        <w:t>“</w:t>
      </w:r>
      <w:r>
        <w:rPr>
          <w:rFonts w:hint="eastAsia" w:hAnsi="宋体"/>
        </w:rPr>
        <w:t>做精医学，做强药学，做实健康相关专业，做大社会服务</w:t>
      </w:r>
      <w:r>
        <w:rPr>
          <w:rFonts w:hint="eastAsia" w:ascii="宋体" w:hAnsi="宋体"/>
        </w:rPr>
        <w:t>”</w:t>
      </w:r>
      <w:r>
        <w:rPr>
          <w:rFonts w:hint="eastAsia" w:hAnsi="宋体"/>
        </w:rPr>
        <w:t>的发展战略，持续为中医药事业发展和区域经济建设不断输送人才。数据来看，我校近三届本科毕业生均主要在医疗和社会护理服务业、医药及设备制造业就业，其中本届在上述行业类就业的毕业生比例（分别为</w:t>
      </w:r>
      <w:r>
        <w:rPr>
          <w:rFonts w:hAnsi="宋体"/>
        </w:rPr>
        <w:t>46.4%</w:t>
      </w:r>
      <w:r>
        <w:rPr>
          <w:rFonts w:hint="eastAsia" w:hAnsi="宋体"/>
        </w:rPr>
        <w:t>、4</w:t>
      </w:r>
      <w:r>
        <w:rPr>
          <w:rFonts w:hAnsi="宋体"/>
        </w:rPr>
        <w:t>3.9%</w:t>
      </w:r>
      <w:r>
        <w:rPr>
          <w:rFonts w:hint="eastAsia" w:hAnsi="宋体"/>
        </w:rPr>
        <w:t>）较2</w:t>
      </w:r>
      <w:r>
        <w:rPr>
          <w:rFonts w:hAnsi="宋体"/>
        </w:rPr>
        <w:t>022</w:t>
      </w:r>
      <w:r>
        <w:rPr>
          <w:rFonts w:hint="eastAsia" w:hAnsi="宋体"/>
        </w:rPr>
        <w:t>届（分别为4</w:t>
      </w:r>
      <w:r>
        <w:rPr>
          <w:rFonts w:hAnsi="宋体"/>
        </w:rPr>
        <w:t>3.9%</w:t>
      </w:r>
      <w:r>
        <w:rPr>
          <w:rFonts w:hint="eastAsia" w:hAnsi="宋体"/>
        </w:rPr>
        <w:t>、2</w:t>
      </w:r>
      <w:r>
        <w:rPr>
          <w:rFonts w:hAnsi="宋体"/>
        </w:rPr>
        <w:t>1.9%</w:t>
      </w:r>
      <w:r>
        <w:rPr>
          <w:rFonts w:hint="eastAsia" w:hAnsi="宋体"/>
        </w:rPr>
        <w:t>）均有所上升，主要分布在药品和医药制造业、综合医院。毕业生积极适应医疗卫生领域发展需求，为“健康天津”建设、中医药传承创新不断贡献力量。结合能力达成来看，各类医学专业毕业生在绝大多数专业能力方面的达成度均达到八成及以上，培养效果较好，毕业生能力达成能够较好地匹配工作需求。</w:t>
      </w:r>
    </w:p>
    <w:p>
      <w:pPr>
        <w:jc w:val="center"/>
        <w:rPr>
          <w:rFonts w:cs="宋体"/>
        </w:rPr>
      </w:pPr>
      <w:r>
        <w:drawing>
          <wp:inline distT="0" distB="0" distL="0" distR="0">
            <wp:extent cx="5291455" cy="3257550"/>
            <wp:effectExtent l="0" t="0" r="0" b="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91455" cy="32575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rPr>
      </w:pPr>
      <w:bookmarkStart w:id="50" w:name="_Toc153811581"/>
      <w:r>
        <w:rPr>
          <w:rFonts w:cs="宋体"/>
        </w:rPr>
        <w:t>主要行业类需求变化趋势</w:t>
      </w:r>
      <w:bookmarkEnd w:id="50"/>
    </w:p>
    <w:p>
      <w:pPr>
        <w:pStyle w:val="165"/>
        <w:spacing w:line="360" w:lineRule="auto"/>
        <w:rPr>
          <w:rFonts w:cs="宋体"/>
        </w:rPr>
      </w:pPr>
      <w:r>
        <w:rPr>
          <w:rFonts w:cs="宋体"/>
        </w:rPr>
        <w:t>数据来源：麦可思-天津中医药大学2023届毕业生培养质量评价数据。</w:t>
      </w:r>
    </w:p>
    <w:p>
      <w:pPr>
        <w:rPr>
          <w:rFonts w:hint="eastAsia" w:cs="宋体"/>
          <w:sz w:val="18"/>
        </w:rPr>
      </w:pPr>
    </w:p>
    <w:p>
      <w:pPr>
        <w:jc w:val="center"/>
        <w:rPr>
          <w:rFonts w:cs="宋体"/>
        </w:rPr>
      </w:pPr>
      <w:r>
        <w:drawing>
          <wp:inline distT="0" distB="0" distL="0" distR="0">
            <wp:extent cx="5291455" cy="325755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91455" cy="32575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rPr>
      </w:pPr>
      <w:bookmarkStart w:id="51" w:name="_Toc153811582"/>
      <w:r>
        <w:rPr>
          <w:rFonts w:cs="宋体"/>
        </w:rPr>
        <w:t>主要行业需求变化趋势</w:t>
      </w:r>
      <w:bookmarkEnd w:id="51"/>
    </w:p>
    <w:p>
      <w:pPr>
        <w:pStyle w:val="165"/>
        <w:spacing w:line="360" w:lineRule="auto"/>
        <w:rPr>
          <w:rFonts w:cs="宋体"/>
        </w:rPr>
      </w:pPr>
      <w:r>
        <w:rPr>
          <w:rFonts w:cs="宋体"/>
        </w:rPr>
        <w:t>数据来源：麦可思-天津中医药大学2023届毕业生培养质量评价数据。</w:t>
      </w:r>
    </w:p>
    <w:p>
      <w:pPr>
        <w:pStyle w:val="165"/>
        <w:spacing w:line="360" w:lineRule="auto"/>
        <w:rPr>
          <w:rFonts w:hint="eastAsia" w:cs="宋体"/>
        </w:rPr>
      </w:pPr>
    </w:p>
    <w:p>
      <w:pPr>
        <w:pStyle w:val="34"/>
        <w:keepNext/>
        <w:keepLines/>
        <w:spacing w:after="0"/>
        <w:ind w:firstLine="420"/>
        <w:rPr>
          <w:rFonts w:hAnsi="宋体"/>
        </w:rPr>
      </w:pPr>
      <w:r>
        <w:rPr>
          <w:rFonts w:hint="eastAsia" w:hAnsi="宋体"/>
        </w:rPr>
        <w:t>我校紧密对接健康中国战略和天津市产业发展，积极服务区域经济和社会发展。数据显示，我校近三届均有四成以上本科毕业生在京津冀地区就业，其中在天津就业的比例持续保持在三成以上，为本地社会经济发展贡献力量。</w:t>
      </w:r>
    </w:p>
    <w:p>
      <w:pPr>
        <w:pStyle w:val="163"/>
        <w:numPr>
          <w:ilvl w:val="8"/>
          <w:numId w:val="15"/>
        </w:numPr>
        <w:spacing w:before="80" w:line="360" w:lineRule="auto"/>
        <w:rPr>
          <w:rFonts w:cs="宋体"/>
          <w:color w:val="000000"/>
        </w:rPr>
      </w:pPr>
      <w:bookmarkStart w:id="52" w:name="_Toc153811583"/>
      <w:r>
        <w:rPr>
          <w:rFonts w:cs="宋体"/>
          <w:color w:val="000000"/>
        </w:rPr>
        <w:t>毕业生主要就业省份的变化趋势</w:t>
      </w:r>
      <w:bookmarkEnd w:id="52"/>
    </w:p>
    <w:p>
      <w:pPr>
        <w:keepNext/>
        <w:jc w:val="right"/>
        <w:rPr>
          <w:rFonts w:cs="宋体"/>
          <w:b/>
          <w:vanish/>
          <w:color w:val="000000"/>
          <w:sz w:val="18"/>
        </w:rPr>
      </w:pPr>
      <w:r>
        <w:rPr>
          <w:rFonts w:cs="宋体"/>
          <w:b/>
          <w:color w:val="000000"/>
          <w:sz w:val="18"/>
        </w:rPr>
        <w:t>单位：%</w:t>
      </w:r>
    </w:p>
    <w:p>
      <w:r>
        <w:t xml:space="preserve"> </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222"/>
        <w:gridCol w:w="2223"/>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222" w:type="dxa"/>
            <w:tcBorders>
              <w:top w:val="single" w:color="9FDFFF" w:sz="6" w:space="0"/>
              <w:left w:val="single" w:color="9FDFFF" w:sz="6" w:space="0"/>
              <w:bottom w:val="single" w:color="9FDFFF" w:sz="6" w:space="0"/>
              <w:right w:val="single" w:color="9FDFFF" w:sz="6" w:space="0"/>
            </w:tcBorders>
            <w:shd w:val="clear" w:color="auto" w:fill="0F487B"/>
            <w:tcMar>
              <w:top w:w="60" w:type="dxa"/>
              <w:bottom w:w="60" w:type="dxa"/>
            </w:tcMar>
            <w:vAlign w:val="center"/>
          </w:tcPr>
          <w:p>
            <w:pPr>
              <w:keepNext/>
              <w:spacing w:line="240" w:lineRule="auto"/>
              <w:jc w:val="center"/>
              <w:rPr>
                <w:rFonts w:cs="宋体"/>
                <w:b/>
                <w:color w:val="FFFFFF"/>
                <w:sz w:val="20"/>
              </w:rPr>
            </w:pPr>
            <w:r>
              <w:rPr>
                <w:rFonts w:cs="宋体"/>
                <w:b/>
                <w:color w:val="FFFFFF"/>
                <w:sz w:val="20"/>
              </w:rPr>
              <w:t>省份名称</w:t>
            </w:r>
          </w:p>
        </w:tc>
        <w:tc>
          <w:tcPr>
            <w:tcW w:w="2222" w:type="dxa"/>
            <w:tcBorders>
              <w:top w:val="single" w:color="9FDFFF" w:sz="6" w:space="0"/>
              <w:left w:val="single" w:color="9FDFFF" w:sz="6" w:space="0"/>
              <w:bottom w:val="single" w:color="9FDFFF" w:sz="6" w:space="0"/>
              <w:right w:val="single" w:color="9FDFFF" w:sz="6" w:space="0"/>
            </w:tcBorders>
            <w:shd w:val="clear" w:color="auto" w:fill="23A5C3"/>
            <w:tcMar>
              <w:top w:w="60" w:type="dxa"/>
              <w:bottom w:w="60" w:type="dxa"/>
            </w:tcMar>
            <w:vAlign w:val="center"/>
          </w:tcPr>
          <w:p>
            <w:pPr>
              <w:keepNext/>
              <w:spacing w:line="240" w:lineRule="auto"/>
              <w:jc w:val="center"/>
              <w:rPr>
                <w:rFonts w:cs="宋体"/>
                <w:b/>
                <w:color w:val="FFFFFF"/>
                <w:sz w:val="20"/>
              </w:rPr>
            </w:pPr>
            <w:r>
              <w:rPr>
                <w:rFonts w:cs="宋体"/>
                <w:b/>
                <w:color w:val="FFFFFF"/>
                <w:sz w:val="20"/>
              </w:rPr>
              <w:t>2021届</w:t>
            </w:r>
          </w:p>
        </w:tc>
        <w:tc>
          <w:tcPr>
            <w:tcW w:w="2223" w:type="dxa"/>
            <w:tcBorders>
              <w:top w:val="single" w:color="9FDFFF" w:sz="6" w:space="0"/>
              <w:left w:val="single" w:color="9FDFFF" w:sz="6" w:space="0"/>
              <w:bottom w:val="single" w:color="9FDFFF" w:sz="6" w:space="0"/>
              <w:right w:val="single" w:color="9FDFFF" w:sz="6" w:space="0"/>
            </w:tcBorders>
            <w:shd w:val="clear" w:color="auto" w:fill="66CCCC"/>
            <w:tcMar>
              <w:top w:w="60" w:type="dxa"/>
              <w:bottom w:w="60" w:type="dxa"/>
            </w:tcMar>
            <w:vAlign w:val="center"/>
          </w:tcPr>
          <w:p>
            <w:pPr>
              <w:keepNext/>
              <w:spacing w:line="240" w:lineRule="auto"/>
              <w:jc w:val="center"/>
              <w:rPr>
                <w:rFonts w:cs="宋体"/>
                <w:b/>
                <w:color w:val="FFFFFF"/>
                <w:sz w:val="20"/>
              </w:rPr>
            </w:pPr>
            <w:r>
              <w:rPr>
                <w:rFonts w:cs="宋体"/>
                <w:b/>
                <w:color w:val="FFFFFF"/>
                <w:sz w:val="20"/>
              </w:rPr>
              <w:t>2022届</w:t>
            </w:r>
          </w:p>
        </w:tc>
        <w:tc>
          <w:tcPr>
            <w:tcW w:w="2223" w:type="dxa"/>
            <w:tcBorders>
              <w:top w:val="single" w:color="9FDFFF" w:sz="6" w:space="0"/>
              <w:left w:val="single" w:color="9FDFFF" w:sz="6" w:space="0"/>
              <w:bottom w:val="single" w:color="9FDFFF" w:sz="6" w:space="0"/>
              <w:right w:val="single" w:color="9FDFFF" w:sz="6" w:space="0"/>
            </w:tcBorders>
            <w:shd w:val="clear" w:color="auto" w:fill="7CD3E8"/>
            <w:tcMar>
              <w:top w:w="60" w:type="dxa"/>
              <w:bottom w:w="60" w:type="dxa"/>
            </w:tcMar>
            <w:vAlign w:val="center"/>
          </w:tcPr>
          <w:p>
            <w:pPr>
              <w:spacing w:line="240" w:lineRule="auto"/>
              <w:jc w:val="center"/>
              <w:rPr>
                <w:rFonts w:cs="宋体"/>
                <w:b/>
                <w:color w:val="FFFFFF"/>
                <w:sz w:val="20"/>
              </w:rPr>
            </w:pPr>
            <w:r>
              <w:rPr>
                <w:rFonts w:cs="宋体"/>
                <w:b/>
                <w:color w:val="FFFFFF"/>
                <w:sz w:val="20"/>
              </w:rPr>
              <w:t>2023届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天津</w:t>
            </w:r>
          </w:p>
        </w:tc>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tcPr>
          <w:p>
            <w:pPr>
              <w:spacing w:line="240" w:lineRule="auto"/>
              <w:jc w:val="center"/>
              <w:rPr>
                <w:rFonts w:cs="宋体"/>
                <w:color w:val="000000"/>
                <w:sz w:val="20"/>
                <w:szCs w:val="20"/>
              </w:rPr>
            </w:pPr>
            <w:r>
              <w:rPr>
                <w:sz w:val="20"/>
                <w:szCs w:val="20"/>
              </w:rPr>
              <w:t>39.1</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39.4</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22" w:type="dxa"/>
            <w:tcBorders>
              <w:top w:val="single" w:color="9FDFFF" w:sz="6" w:space="0"/>
              <w:left w:val="single" w:color="9FDFFF" w:sz="6" w:space="0"/>
              <w:bottom w:val="single" w:color="9FDFFF" w:sz="6" w:space="0"/>
              <w:right w:val="single" w:color="9FDFFF" w:sz="6" w:space="0"/>
            </w:tcBorders>
            <w:shd w:val="clear" w:color="auto" w:fill="DFEFFD"/>
            <w:tcMar>
              <w:top w:w="20" w:type="dxa"/>
              <w:bottom w:w="20" w:type="dxa"/>
            </w:tcMar>
            <w:vAlign w:val="center"/>
          </w:tcPr>
          <w:p>
            <w:pPr>
              <w:spacing w:line="240" w:lineRule="auto"/>
              <w:jc w:val="left"/>
              <w:rPr>
                <w:rFonts w:cs="宋体"/>
                <w:color w:val="000000"/>
                <w:sz w:val="20"/>
              </w:rPr>
            </w:pPr>
            <w:r>
              <w:rPr>
                <w:rFonts w:cs="宋体"/>
                <w:color w:val="000000"/>
                <w:sz w:val="20"/>
              </w:rPr>
              <w:t>北京</w:t>
            </w:r>
          </w:p>
        </w:tc>
        <w:tc>
          <w:tcPr>
            <w:tcW w:w="222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tcPr>
          <w:p>
            <w:pPr>
              <w:spacing w:line="240" w:lineRule="auto"/>
              <w:jc w:val="center"/>
              <w:rPr>
                <w:rFonts w:cs="宋体"/>
                <w:color w:val="000000"/>
                <w:sz w:val="20"/>
                <w:szCs w:val="20"/>
              </w:rPr>
            </w:pPr>
            <w:r>
              <w:rPr>
                <w:sz w:val="20"/>
                <w:szCs w:val="20"/>
              </w:rPr>
              <w:t>8.5</w:t>
            </w:r>
          </w:p>
        </w:tc>
        <w:tc>
          <w:tcPr>
            <w:tcW w:w="2223"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8.8</w:t>
            </w:r>
          </w:p>
        </w:tc>
        <w:tc>
          <w:tcPr>
            <w:tcW w:w="2223" w:type="dxa"/>
            <w:tcBorders>
              <w:top w:val="single" w:color="9FDFFF" w:sz="6" w:space="0"/>
              <w:left w:val="single" w:color="9FDFFF" w:sz="6" w:space="0"/>
              <w:bottom w:val="single" w:color="9FDFFF" w:sz="6" w:space="0"/>
              <w:right w:val="single" w:color="9FDFFF" w:sz="6" w:space="0"/>
            </w:tcBorders>
            <w:shd w:val="clear" w:color="auto" w:fill="D1F0F7"/>
            <w:tcMar>
              <w:top w:w="20" w:type="dxa"/>
              <w:bottom w:w="20" w:type="dxa"/>
            </w:tcMar>
            <w:vAlign w:val="center"/>
          </w:tcPr>
          <w:p>
            <w:pPr>
              <w:spacing w:line="240" w:lineRule="auto"/>
              <w:jc w:val="center"/>
              <w:rPr>
                <w:rFonts w:cs="宋体"/>
                <w:color w:val="000000"/>
                <w:sz w:val="20"/>
              </w:rPr>
            </w:pPr>
            <w:r>
              <w:rPr>
                <w:rFonts w:cs="宋体"/>
                <w:color w:val="000000"/>
                <w:sz w:val="20"/>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上海</w:t>
            </w:r>
          </w:p>
        </w:tc>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szCs w:val="20"/>
              </w:rPr>
            </w:pPr>
            <w:r>
              <w:rPr>
                <w:rFonts w:cs="宋体"/>
                <w:color w:val="000000"/>
                <w:sz w:val="20"/>
                <w:szCs w:val="20"/>
              </w:rPr>
              <w:t>6.1</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4.9</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22" w:type="dxa"/>
            <w:tcBorders>
              <w:top w:val="single" w:color="9FDFFF" w:sz="6" w:space="0"/>
              <w:left w:val="single" w:color="9FDFFF" w:sz="6" w:space="0"/>
              <w:bottom w:val="single" w:color="9FDFFF" w:sz="6" w:space="0"/>
              <w:right w:val="single" w:color="9FDFFF" w:sz="6" w:space="0"/>
            </w:tcBorders>
            <w:shd w:val="clear" w:color="auto" w:fill="DFEFFD"/>
            <w:tcMar>
              <w:top w:w="20" w:type="dxa"/>
              <w:bottom w:w="20" w:type="dxa"/>
            </w:tcMar>
            <w:vAlign w:val="center"/>
          </w:tcPr>
          <w:p>
            <w:pPr>
              <w:spacing w:line="240" w:lineRule="auto"/>
              <w:jc w:val="left"/>
              <w:rPr>
                <w:rFonts w:cs="宋体"/>
                <w:color w:val="000000"/>
                <w:sz w:val="20"/>
              </w:rPr>
            </w:pPr>
            <w:r>
              <w:rPr>
                <w:rFonts w:cs="宋体"/>
                <w:color w:val="000000"/>
                <w:sz w:val="20"/>
              </w:rPr>
              <w:t>江苏</w:t>
            </w:r>
          </w:p>
        </w:tc>
        <w:tc>
          <w:tcPr>
            <w:tcW w:w="2222" w:type="dxa"/>
            <w:tcBorders>
              <w:top w:val="single" w:color="9FDFFF" w:sz="6" w:space="0"/>
              <w:left w:val="single" w:color="9FDFFF" w:sz="6" w:space="0"/>
              <w:bottom w:val="single" w:color="9FDFFF" w:sz="6" w:space="0"/>
              <w:right w:val="single" w:color="9FDFFF" w:sz="6" w:space="0"/>
            </w:tcBorders>
            <w:shd w:val="clear" w:color="auto" w:fill="E5F7FB"/>
            <w:tcMar>
              <w:top w:w="20" w:type="dxa"/>
              <w:bottom w:w="20" w:type="dxa"/>
            </w:tcMar>
            <w:vAlign w:val="center"/>
          </w:tcPr>
          <w:p>
            <w:pPr>
              <w:spacing w:line="240" w:lineRule="auto"/>
              <w:jc w:val="center"/>
              <w:rPr>
                <w:rFonts w:cs="宋体"/>
                <w:color w:val="000000"/>
                <w:sz w:val="20"/>
                <w:szCs w:val="20"/>
              </w:rPr>
            </w:pPr>
            <w:r>
              <w:rPr>
                <w:rFonts w:cs="宋体"/>
                <w:color w:val="000000"/>
                <w:sz w:val="20"/>
                <w:szCs w:val="20"/>
              </w:rPr>
              <w:t>5.7</w:t>
            </w:r>
          </w:p>
        </w:tc>
        <w:tc>
          <w:tcPr>
            <w:tcW w:w="2223" w:type="dxa"/>
            <w:tcBorders>
              <w:top w:val="single" w:color="9FDFFF" w:sz="6" w:space="0"/>
              <w:left w:val="single" w:color="9FDFFF" w:sz="6" w:space="0"/>
              <w:bottom w:val="single" w:color="9FDFFF" w:sz="6" w:space="0"/>
              <w:right w:val="single" w:color="9FDFFF" w:sz="6" w:space="0"/>
            </w:tcBorders>
            <w:shd w:val="clear" w:color="auto" w:fill="D9F3F2"/>
            <w:tcMar>
              <w:top w:w="20" w:type="dxa"/>
              <w:bottom w:w="20" w:type="dxa"/>
            </w:tcMar>
            <w:vAlign w:val="center"/>
          </w:tcPr>
          <w:p>
            <w:pPr>
              <w:spacing w:line="240" w:lineRule="auto"/>
              <w:jc w:val="center"/>
              <w:rPr>
                <w:rFonts w:cs="宋体"/>
                <w:color w:val="000000"/>
                <w:sz w:val="20"/>
              </w:rPr>
            </w:pPr>
            <w:r>
              <w:rPr>
                <w:rFonts w:cs="宋体"/>
                <w:color w:val="000000"/>
                <w:sz w:val="20"/>
              </w:rPr>
              <w:t>5.4</w:t>
            </w:r>
          </w:p>
        </w:tc>
        <w:tc>
          <w:tcPr>
            <w:tcW w:w="2223" w:type="dxa"/>
            <w:tcBorders>
              <w:top w:val="single" w:color="9FDFFF" w:sz="6" w:space="0"/>
              <w:left w:val="single" w:color="9FDFFF" w:sz="6" w:space="0"/>
              <w:bottom w:val="single" w:color="9FDFFF" w:sz="6" w:space="0"/>
              <w:right w:val="single" w:color="9FDFFF" w:sz="6" w:space="0"/>
            </w:tcBorders>
            <w:shd w:val="clear" w:color="auto" w:fill="D1F0F7"/>
            <w:tcMar>
              <w:top w:w="20" w:type="dxa"/>
              <w:bottom w:w="20" w:type="dxa"/>
            </w:tcMar>
            <w:vAlign w:val="center"/>
          </w:tcPr>
          <w:p>
            <w:pPr>
              <w:spacing w:line="240" w:lineRule="auto"/>
              <w:jc w:val="center"/>
              <w:rPr>
                <w:rFonts w:cs="宋体"/>
                <w:color w:val="000000"/>
                <w:sz w:val="20"/>
              </w:rPr>
            </w:pPr>
            <w:r>
              <w:rPr>
                <w:rFonts w:cs="宋体"/>
                <w:color w:val="000000"/>
                <w:sz w:val="20"/>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left"/>
              <w:rPr>
                <w:rFonts w:cs="宋体"/>
                <w:color w:val="000000"/>
                <w:sz w:val="20"/>
              </w:rPr>
            </w:pPr>
            <w:r>
              <w:rPr>
                <w:rFonts w:cs="宋体"/>
                <w:color w:val="000000"/>
                <w:sz w:val="20"/>
              </w:rPr>
              <w:t>广东</w:t>
            </w:r>
          </w:p>
        </w:tc>
        <w:tc>
          <w:tcPr>
            <w:tcW w:w="2222"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szCs w:val="20"/>
              </w:rPr>
            </w:pPr>
            <w:r>
              <w:rPr>
                <w:rFonts w:cs="宋体"/>
                <w:color w:val="000000"/>
                <w:sz w:val="20"/>
                <w:szCs w:val="20"/>
              </w:rPr>
              <w:t>4.1</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3.6</w:t>
            </w:r>
          </w:p>
        </w:tc>
        <w:tc>
          <w:tcPr>
            <w:tcW w:w="2223" w:type="dxa"/>
            <w:tcBorders>
              <w:top w:val="single" w:color="9FDFFF" w:sz="6" w:space="0"/>
              <w:left w:val="single" w:color="9FDFFF" w:sz="6" w:space="0"/>
              <w:bottom w:val="single" w:color="9FDFFF" w:sz="6" w:space="0"/>
              <w:right w:val="single" w:color="9FDFFF" w:sz="6" w:space="0"/>
            </w:tcBorders>
            <w:shd w:val="clear" w:color="auto" w:fill="FFFFFF"/>
            <w:tcMar>
              <w:top w:w="20" w:type="dxa"/>
              <w:bottom w:w="20" w:type="dxa"/>
            </w:tcMar>
            <w:vAlign w:val="center"/>
          </w:tcPr>
          <w:p>
            <w:pPr>
              <w:spacing w:line="240" w:lineRule="auto"/>
              <w:jc w:val="center"/>
              <w:rPr>
                <w:rFonts w:cs="宋体"/>
                <w:color w:val="000000"/>
                <w:sz w:val="20"/>
              </w:rPr>
            </w:pPr>
            <w:r>
              <w:rPr>
                <w:rFonts w:cs="宋体"/>
                <w:color w:val="000000"/>
                <w:sz w:val="20"/>
              </w:rPr>
              <w:t>4.8</w:t>
            </w:r>
          </w:p>
        </w:tc>
      </w:tr>
    </w:tbl>
    <w:p>
      <w:pPr>
        <w:pStyle w:val="165"/>
        <w:spacing w:line="360" w:lineRule="auto"/>
        <w:rPr>
          <w:rFonts w:hint="eastAsia" w:cs="宋体"/>
        </w:rPr>
      </w:pPr>
      <w:r>
        <w:rPr>
          <w:rFonts w:cs="宋体"/>
        </w:rPr>
        <w:t>数据来源：麦可思-天津中医药大学2023届毕业生培养质量评价数据。</w:t>
      </w:r>
    </w:p>
    <w:p>
      <w:pPr>
        <w:widowControl/>
        <w:jc w:val="left"/>
        <w:sectPr>
          <w:footnotePr>
            <w:numRestart w:val="eachPage"/>
          </w:footnotePr>
          <w:pgSz w:w="11906" w:h="16838"/>
          <w:pgMar w:top="1984" w:right="1531" w:bottom="1701" w:left="1701" w:header="992" w:footer="850" w:gutter="0"/>
          <w:cols w:space="720" w:num="1"/>
        </w:sectPr>
      </w:pPr>
    </w:p>
    <w:p>
      <w:pPr>
        <w:pStyle w:val="159"/>
        <w:widowControl/>
        <w:numPr>
          <w:ilvl w:val="2"/>
          <w:numId w:val="14"/>
        </w:numPr>
        <w:tabs>
          <w:tab w:val="left" w:pos="-567"/>
        </w:tabs>
        <w:spacing w:before="120" w:after="120"/>
        <w:ind w:left="-567" w:leftChars="-270" w:firstLine="709"/>
        <w:rPr>
          <w:rFonts w:cs="宋体"/>
          <w:color w:val="006699"/>
        </w:rPr>
      </w:pPr>
      <w:bookmarkStart w:id="53" w:name="_Toc152007793"/>
      <w:bookmarkStart w:id="54" w:name="_Toc153811531"/>
      <w:r>
        <w:drawing>
          <wp:anchor distT="0" distB="0" distL="114300" distR="114300" simplePos="0" relativeHeight="251704320" behindDoc="1" locked="0" layoutInCell="1" allowOverlap="1">
            <wp:simplePos x="0" y="0"/>
            <wp:positionH relativeFrom="column">
              <wp:posOffset>-304800</wp:posOffset>
            </wp:positionH>
            <wp:positionV relativeFrom="paragraph">
              <wp:posOffset>-30480</wp:posOffset>
            </wp:positionV>
            <wp:extent cx="471805" cy="334645"/>
            <wp:effectExtent l="0" t="0" r="0" b="0"/>
            <wp:wrapNone/>
            <wp:docPr id="22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hint="eastAsia" w:cs="宋体"/>
          <w:color w:val="006699"/>
          <w:lang w:eastAsia="zh-CN"/>
        </w:rPr>
        <w:t>对口率高、稳定性强，毕业生就业竞争力不断增强</w:t>
      </w:r>
      <w:bookmarkEnd w:id="53"/>
      <w:bookmarkEnd w:id="54"/>
    </w:p>
    <w:p>
      <w:pPr>
        <w:pStyle w:val="164"/>
        <w:spacing w:line="360" w:lineRule="auto"/>
        <w:ind w:firstLine="420"/>
        <w:jc w:val="both"/>
        <w:rPr>
          <w:rFonts w:cs="宋体"/>
          <w:color w:val="000000"/>
        </w:rPr>
      </w:pPr>
      <w:r>
        <w:rPr>
          <w:rFonts w:hint="eastAsia"/>
        </w:rPr>
        <w:t>我校本科毕业生具备较强的就业竞争力。在专业相关度方面，近三届本科毕业生专业相关度持续保持在八成以上，毕业生从事工作与所学专业的匹配度较高；在就业满意度方面，近三届本科毕业生就业满意度均在八成及以上，较高的就业满意度表现出毕业生首次工作的工作氛围、工作内容等能够达到其就业预期，就业感受较好；在就业稳定性方面，近三届本科毕业生离职率均在两成左右，持续保持较低水平。毕业生良好的就业质量反映出学校专业设置匹配市场需求，人才培养取得成效，同时也为毕业生中长期职业发展奠定良好基础</w:t>
      </w:r>
      <w:r>
        <w:rPr>
          <w:rFonts w:hint="eastAsia" w:cs="宋体"/>
          <w:color w:val="000000"/>
        </w:rPr>
        <w:t>。</w:t>
      </w:r>
    </w:p>
    <w:p>
      <w:pPr>
        <w:jc w:val="center"/>
        <w:rPr>
          <w:rFonts w:cs="宋体"/>
          <w:color w:val="000000"/>
        </w:rPr>
      </w:pPr>
      <w:r>
        <w:drawing>
          <wp:inline distT="0" distB="0" distL="0" distR="0">
            <wp:extent cx="5219700" cy="2524125"/>
            <wp:effectExtent l="0" t="0" r="0"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19700" cy="25241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55" w:name="_Toc153811584"/>
      <w:r>
        <w:rPr>
          <w:rFonts w:cs="宋体"/>
          <w:color w:val="000000"/>
        </w:rPr>
        <w:t>专业相关度变化趋势</w:t>
      </w:r>
      <w:bookmarkEnd w:id="55"/>
    </w:p>
    <w:p>
      <w:pPr>
        <w:pStyle w:val="165"/>
        <w:spacing w:line="360" w:lineRule="auto"/>
        <w:rPr>
          <w:rFonts w:hint="eastAsia" w:cs="宋体"/>
          <w:color w:val="000000"/>
        </w:rPr>
      </w:pPr>
      <w:r>
        <w:rPr>
          <w:rFonts w:hint="eastAsia" w:cs="宋体"/>
          <w:color w:val="000000"/>
        </w:rPr>
        <w:t>数据来源：天津市高校毕业生就业管理系统</w:t>
      </w:r>
      <w:r>
        <w:rPr>
          <w:rFonts w:cs="宋体"/>
          <w:color w:val="000000"/>
        </w:rPr>
        <w:t>。</w:t>
      </w:r>
    </w:p>
    <w:p>
      <w:pPr>
        <w:jc w:val="center"/>
        <w:rPr>
          <w:rFonts w:cs="宋体"/>
          <w:color w:val="000000"/>
        </w:rPr>
      </w:pPr>
      <w:r>
        <w:drawing>
          <wp:inline distT="0" distB="0" distL="0" distR="0">
            <wp:extent cx="5219700" cy="2524125"/>
            <wp:effectExtent l="0" t="0" r="0"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19700" cy="25241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56" w:name="_Toc153811585"/>
      <w:r>
        <w:rPr>
          <w:rFonts w:cs="宋体"/>
          <w:color w:val="000000"/>
        </w:rPr>
        <w:t>就业满意度变化趋势</w:t>
      </w:r>
      <w:bookmarkEnd w:id="56"/>
    </w:p>
    <w:p>
      <w:pPr>
        <w:pStyle w:val="165"/>
        <w:spacing w:line="360" w:lineRule="auto"/>
        <w:rPr>
          <w:rFonts w:hint="eastAsia" w:cs="宋体"/>
          <w:color w:val="000000"/>
        </w:rPr>
      </w:pPr>
      <w:r>
        <w:rPr>
          <w:rFonts w:hint="eastAsia" w:cs="宋体"/>
          <w:color w:val="000000"/>
        </w:rPr>
        <w:t>数据来源：天津市高校毕业生就业管理系统</w:t>
      </w:r>
      <w:r>
        <w:rPr>
          <w:rFonts w:cs="宋体"/>
          <w:color w:val="000000"/>
        </w:rPr>
        <w:t>。</w:t>
      </w:r>
    </w:p>
    <w:p>
      <w:pPr>
        <w:jc w:val="center"/>
        <w:rPr>
          <w:rFonts w:cs="宋体"/>
          <w:color w:val="000000"/>
        </w:rPr>
      </w:pPr>
      <w:r>
        <w:drawing>
          <wp:inline distT="0" distB="0" distL="0" distR="0">
            <wp:extent cx="5219700" cy="2524125"/>
            <wp:effectExtent l="0" t="0" r="0" b="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19700" cy="25241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57" w:name="_Toc153811586"/>
      <w:r>
        <w:rPr>
          <w:rFonts w:cs="宋体"/>
          <w:color w:val="000000"/>
        </w:rPr>
        <w:t>离职率变化趋势</w:t>
      </w:r>
      <w:bookmarkEnd w:id="57"/>
    </w:p>
    <w:p>
      <w:pPr>
        <w:pStyle w:val="165"/>
        <w:spacing w:line="360" w:lineRule="auto"/>
        <w:rPr>
          <w:rFonts w:cs="宋体"/>
          <w:color w:val="000000"/>
        </w:rPr>
      </w:pPr>
      <w:r>
        <w:rPr>
          <w:rFonts w:hint="eastAsia" w:cs="宋体"/>
          <w:color w:val="000000"/>
        </w:rPr>
        <w:t>数据来源：天津市高校毕业生就业管理系统</w:t>
      </w:r>
      <w:r>
        <w:rPr>
          <w:rFonts w:cs="宋体"/>
          <w:color w:val="000000"/>
        </w:rPr>
        <w:t>。</w:t>
      </w:r>
    </w:p>
    <w:p>
      <w:pPr>
        <w:pStyle w:val="165"/>
        <w:spacing w:line="360" w:lineRule="auto"/>
        <w:rPr>
          <w:rFonts w:cs="宋体"/>
          <w:color w:val="000000"/>
        </w:rPr>
      </w:pPr>
    </w:p>
    <w:p>
      <w:pPr>
        <w:pStyle w:val="165"/>
        <w:spacing w:line="360" w:lineRule="auto"/>
        <w:rPr>
          <w:rFonts w:cs="宋体"/>
          <w:color w:val="000000"/>
        </w:rPr>
        <w:sectPr>
          <w:footnotePr>
            <w:numRestart w:val="eachPage"/>
          </w:footnotePr>
          <w:pgSz w:w="11906" w:h="16838"/>
          <w:pgMar w:top="1984" w:right="1531" w:bottom="1701" w:left="1701" w:header="992" w:footer="850" w:gutter="0"/>
          <w:cols w:space="720" w:num="1"/>
        </w:sectPr>
      </w:pPr>
    </w:p>
    <w:p>
      <w:pPr>
        <w:pStyle w:val="165"/>
        <w:spacing w:line="360" w:lineRule="auto"/>
        <w:rPr>
          <w:rFonts w:cs="宋体"/>
          <w:color w:val="000000"/>
        </w:rPr>
      </w:pPr>
      <w:r>
        <w:rPr>
          <w:rFonts w:cs="宋体"/>
          <w:color w:val="000000"/>
        </w:rPr>
        <w:drawing>
          <wp:anchor distT="0" distB="0" distL="114300" distR="114300" simplePos="0" relativeHeight="251705344" behindDoc="1" locked="0" layoutInCell="1" allowOverlap="1">
            <wp:simplePos x="0" y="0"/>
            <wp:positionH relativeFrom="page">
              <wp:posOffset>-19050</wp:posOffset>
            </wp:positionH>
            <wp:positionV relativeFrom="page">
              <wp:posOffset>0</wp:posOffset>
            </wp:positionV>
            <wp:extent cx="7560310" cy="10692130"/>
            <wp:effectExtent l="0" t="0" r="0" b="0"/>
            <wp:wrapNone/>
            <wp:docPr id="2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65"/>
        <w:spacing w:line="360" w:lineRule="auto"/>
        <w:rPr>
          <w:rFonts w:cs="宋体"/>
          <w:color w:val="000000"/>
        </w:rPr>
      </w:pPr>
    </w:p>
    <w:p>
      <w:pPr>
        <w:pStyle w:val="165"/>
        <w:spacing w:line="360" w:lineRule="auto"/>
        <w:rPr>
          <w:rFonts w:cs="宋体"/>
          <w:color w:val="000000"/>
        </w:rPr>
      </w:pPr>
    </w:p>
    <w:p>
      <w:pPr>
        <w:pStyle w:val="165"/>
        <w:spacing w:line="360" w:lineRule="auto"/>
        <w:rPr>
          <w:rFonts w:hint="eastAsia" w:cs="宋体"/>
          <w:color w:val="000000"/>
        </w:rPr>
      </w:pPr>
      <w:r>
        <w:rPr>
          <w:rFonts w:cs="宋体"/>
          <w:color w:val="000000"/>
        </w:rPr>
        <mc:AlternateContent>
          <mc:Choice Requires="wps">
            <w:drawing>
              <wp:anchor distT="0" distB="0" distL="114300" distR="114300" simplePos="0" relativeHeight="251706368" behindDoc="0" locked="0" layoutInCell="1" allowOverlap="1">
                <wp:simplePos x="0" y="0"/>
                <wp:positionH relativeFrom="page">
                  <wp:posOffset>447675</wp:posOffset>
                </wp:positionH>
                <wp:positionV relativeFrom="page">
                  <wp:posOffset>4685030</wp:posOffset>
                </wp:positionV>
                <wp:extent cx="3888105" cy="460375"/>
                <wp:effectExtent l="0" t="0" r="0" b="0"/>
                <wp:wrapNone/>
                <wp:docPr id="402119380" name="Rectangle 100004"/>
                <wp:cNvGraphicFramePr/>
                <a:graphic xmlns:a="http://schemas.openxmlformats.org/drawingml/2006/main">
                  <a:graphicData uri="http://schemas.microsoft.com/office/word/2010/wordprocessingShape">
                    <wps:wsp>
                      <wps:cNvSpPr>
                        <a:spLocks noChangeArrowheads="1"/>
                      </wps:cNvSpPr>
                      <wps:spPr bwMode="auto">
                        <a:xfrm>
                          <a:off x="0" y="0"/>
                          <a:ext cx="3888105"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35.25pt;margin-top:368.9pt;height:36.25pt;width:306.15pt;mso-position-horizontal-relative:page;mso-position-vertical-relative:page;z-index:251706368;v-text-anchor:middle;mso-width-relative:page;mso-height-relative:page;" fillcolor="#579DC2" filled="t" stroked="f" coordsize="21600,21600" o:gfxdata="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6YsQ&#10;2gAAAAoBAAAPAAAAAAAAAAEAIAAAACIAAABkcnMvZG93bnJldi54bWxQSwECFAAUAAAACACHTuJA&#10;130QgB8CAAA4BAAADgAAAAAAAAABACAAAAApAQAAZHJzL2Uyb0RvYy54bWxQSwUGAAAAAAYABgBZ&#10;AQAAugUAAAAA&#10;">
                <v:fill on="t" focussize="0,0"/>
                <v:stroke on="f"/>
                <v:imagedata o:title=""/>
                <o:lock v:ext="edit" aspectratio="f"/>
              </v:rect>
            </w:pict>
          </mc:Fallback>
        </mc:AlternateContent>
      </w:r>
      <w:r>
        <w:rPr>
          <w:rFonts w:cs="宋体"/>
          <w:color w:val="000000"/>
        </w:rPr>
        <mc:AlternateContent>
          <mc:Choice Requires="wps">
            <w:drawing>
              <wp:anchor distT="0" distB="0" distL="114300" distR="114300" simplePos="0" relativeHeight="251707392" behindDoc="0" locked="0" layoutInCell="1" allowOverlap="1">
                <wp:simplePos x="0" y="0"/>
                <wp:positionH relativeFrom="page">
                  <wp:posOffset>473075</wp:posOffset>
                </wp:positionH>
                <wp:positionV relativeFrom="page">
                  <wp:posOffset>4040505</wp:posOffset>
                </wp:positionV>
                <wp:extent cx="3887470" cy="1080135"/>
                <wp:effectExtent l="0" t="1905" r="1905" b="3810"/>
                <wp:wrapNone/>
                <wp:docPr id="189583586"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3887470"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用人单位评价</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37.25pt;margin-top:318.15pt;height:85.05pt;width:306.1pt;mso-position-horizontal-relative:page;mso-position-vertical-relative:page;z-index:251707392;mso-width-relative:page;mso-height-relative:page;" filled="f" stroked="f" coordsize="21600,21600" o:gfxdata="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JYIoXYAAAACgEAAA8AAAAAAAAA&#10;AQAgAAAAIgAAAGRycy9kb3ducmV2LnhtbFBLAQIUABQAAAAIAIdO4kDpYhHrEQIAACEEAAAOAAAA&#10;AAAAAAEAIAAAACcBAABkcnMvZTJvRG9jLnhtbFBLBQYAAAAABgAGAFkBAACqBQ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用人单位评价</w:t>
                      </w:r>
                    </w:p>
                  </w:txbxContent>
                </v:textbox>
              </v:shape>
            </w:pict>
          </mc:Fallback>
        </mc:AlternateContent>
      </w:r>
    </w:p>
    <w:p>
      <w:pPr>
        <w:pStyle w:val="165"/>
        <w:spacing w:line="360" w:lineRule="auto"/>
        <w:rPr>
          <w:rFonts w:cs="宋体"/>
          <w:color w:val="000000"/>
        </w:rPr>
        <w:sectPr>
          <w:footnotePr>
            <w:numRestart w:val="eachPage"/>
          </w:footnotePr>
          <w:pgSz w:w="11906" w:h="16838"/>
          <w:pgMar w:top="1984" w:right="1531" w:bottom="1701" w:left="1701" w:header="992" w:footer="850" w:gutter="0"/>
          <w:cols w:space="720" w:num="1"/>
        </w:sectPr>
      </w:pPr>
    </w:p>
    <w:p>
      <w:pPr>
        <w:pStyle w:val="158"/>
        <w:numPr>
          <w:ilvl w:val="1"/>
          <w:numId w:val="12"/>
        </w:numPr>
        <w:ind w:left="0" w:firstLine="0"/>
        <w:jc w:val="center"/>
        <w:rPr>
          <w:rFonts w:cs="宋体"/>
          <w:color w:val="006699"/>
        </w:rPr>
      </w:pPr>
      <w:bookmarkStart w:id="58" w:name="_Toc153811532"/>
      <w:bookmarkStart w:id="59" w:name="_Toc153811587"/>
      <w:bookmarkStart w:id="60" w:name="_Toc256000216"/>
      <w:bookmarkStart w:id="61" w:name="_Toc256000319"/>
      <w:r>
        <w:rPr>
          <w:rFonts w:cs="宋体"/>
          <w:color w:val="006699"/>
        </w:rPr>
        <w:t>用人单位评价</w:t>
      </w:r>
      <w:bookmarkEnd w:id="58"/>
      <w:bookmarkEnd w:id="59"/>
      <w:bookmarkEnd w:id="60"/>
      <w:bookmarkEnd w:id="61"/>
    </w:p>
    <w:p>
      <w:pPr>
        <w:pStyle w:val="164"/>
        <w:spacing w:line="360" w:lineRule="auto"/>
        <w:ind w:firstLine="420"/>
        <w:jc w:val="both"/>
        <w:rPr>
          <w:rFonts w:cs="宋体"/>
          <w:color w:val="000000"/>
          <w:lang w:val="en-US" w:eastAsia="zh-CN" w:bidi="ar-SA"/>
        </w:rPr>
      </w:pPr>
      <w:r>
        <w:rPr>
          <w:rFonts w:cs="宋体"/>
          <w:b/>
          <w:color w:val="006699"/>
          <w:sz w:val="44"/>
        </w:rPr>
        <w:drawing>
          <wp:anchor distT="0" distB="0" distL="114300" distR="114300" simplePos="0" relativeHeight="251708416" behindDoc="1" locked="0" layoutInCell="1" allowOverlap="1">
            <wp:simplePos x="0" y="0"/>
            <wp:positionH relativeFrom="margin">
              <wp:posOffset>756285</wp:posOffset>
            </wp:positionH>
            <wp:positionV relativeFrom="margin">
              <wp:posOffset>-179705</wp:posOffset>
            </wp:positionV>
            <wp:extent cx="589915" cy="619125"/>
            <wp:effectExtent l="0" t="0" r="0" b="0"/>
            <wp:wrapNone/>
            <wp:docPr id="2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9915" cy="619125"/>
                    </a:xfrm>
                    <a:prstGeom prst="rect">
                      <a:avLst/>
                    </a:prstGeom>
                    <a:noFill/>
                  </pic:spPr>
                </pic:pic>
              </a:graphicData>
            </a:graphic>
          </wp:anchor>
        </w:drawing>
      </w:r>
      <w:r>
        <w:rPr>
          <w:rFonts w:cs="宋体"/>
          <w:color w:val="000000"/>
          <w:lang w:val="en-US" w:eastAsia="zh-CN" w:bidi="ar-SA"/>
        </w:rPr>
        <w:t>用人单位评价信息可反映学校培养与实际市场需求的适应情况，可帮助学校优化调整培养内容和方式，提高毕业生的就业能力。本章主要包括用人单位对我校</w:t>
      </w:r>
      <w:r>
        <w:rPr>
          <w:rFonts w:hint="eastAsia" w:cs="宋体"/>
          <w:color w:val="000000"/>
          <w:lang w:val="en-US" w:eastAsia="zh-CN" w:bidi="ar-SA"/>
        </w:rPr>
        <w:t>本科</w:t>
      </w:r>
      <w:r>
        <w:rPr>
          <w:rFonts w:cs="宋体"/>
          <w:color w:val="000000"/>
          <w:lang w:val="en-US" w:eastAsia="zh-CN" w:bidi="ar-SA"/>
        </w:rPr>
        <w:t>毕业生的使用评价，并对就业工作和教学培养提供建议。</w:t>
      </w:r>
    </w:p>
    <w:p>
      <w:pPr>
        <w:pStyle w:val="34"/>
        <w:ind w:firstLine="420"/>
        <w:rPr>
          <w:rFonts w:hint="eastAsia"/>
          <w:lang w:val="en-US" w:eastAsia="zh-CN" w:bidi="ar-SA"/>
        </w:rPr>
      </w:pPr>
      <w:r>
        <w:rPr>
          <w:rFonts w:hint="eastAsia"/>
          <w:lang w:val="en-US" w:eastAsia="zh-CN" w:bidi="ar-SA"/>
        </w:rPr>
        <w:t>数据来源于麦可思-天津中医药大学2023年用人单位评价数据。调研面向招聘我校本科应届毕业生的用人单位，截至2023年12月1</w:t>
      </w:r>
      <w:r>
        <w:rPr>
          <w:lang w:val="en-US" w:eastAsia="zh-CN" w:bidi="ar-SA"/>
        </w:rPr>
        <w:t>5</w:t>
      </w:r>
      <w:r>
        <w:rPr>
          <w:rFonts w:hint="eastAsia"/>
          <w:lang w:val="en-US" w:eastAsia="zh-CN" w:bidi="ar-SA"/>
        </w:rPr>
        <w:t>日，</w:t>
      </w:r>
      <w:r>
        <w:rPr>
          <w:rFonts w:hint="eastAsia"/>
          <w:lang w:val="en-US" w:bidi="ar-SA"/>
        </w:rPr>
        <w:t>共</w:t>
      </w:r>
      <w:r>
        <w:rPr>
          <w:rFonts w:hint="eastAsia"/>
          <w:lang w:val="en-US" w:eastAsia="zh-CN" w:bidi="ar-SA"/>
        </w:rPr>
        <w:t>回收有效问卷</w:t>
      </w:r>
      <w:r>
        <w:rPr>
          <w:lang w:val="en-US" w:eastAsia="zh-CN" w:bidi="ar-SA"/>
        </w:rPr>
        <w:t>93</w:t>
      </w:r>
      <w:r>
        <w:rPr>
          <w:rFonts w:hint="eastAsia"/>
          <w:lang w:val="en-US" w:eastAsia="zh-CN" w:bidi="ar-SA"/>
        </w:rPr>
        <w:t>份。</w:t>
      </w:r>
    </w:p>
    <w:p>
      <w:pPr>
        <w:pStyle w:val="34"/>
        <w:ind w:firstLine="420" w:firstLineChars="200"/>
        <w:rPr>
          <w:rFonts w:hAnsi="宋体"/>
          <w:lang w:val="en-US" w:eastAsia="zh-CN" w:bidi="ar-SA"/>
        </w:rPr>
      </w:pPr>
      <w:r>
        <w:rPr>
          <w:rFonts w:hint="eastAsia" w:hAnsi="宋体"/>
          <w:lang w:val="en-US" w:eastAsia="zh-CN" w:bidi="ar-SA"/>
        </w:rPr>
        <w:t>我校2023届聘用过我校本科毕业生的用人单位对我校毕业生以及我校就业工作评价均较好，几乎所有用人单位均对我校本科毕业生表示认可，</w:t>
      </w:r>
      <w:r>
        <w:rPr>
          <w:rFonts w:hint="eastAsia" w:hAnsi="宋体"/>
          <w:lang w:val="en-US" w:bidi="ar-SA"/>
        </w:rPr>
        <w:t>9</w:t>
      </w:r>
      <w:r>
        <w:rPr>
          <w:rFonts w:hAnsi="宋体"/>
          <w:lang w:val="en-US" w:bidi="ar-SA"/>
        </w:rPr>
        <w:t>8</w:t>
      </w:r>
      <w:r>
        <w:rPr>
          <w:rFonts w:hint="eastAsia" w:hAnsi="宋体"/>
          <w:lang w:val="en-US" w:bidi="ar-SA"/>
        </w:rPr>
        <w:t>%表示未来愿意继续招聘我校毕业生</w:t>
      </w:r>
      <w:r>
        <w:rPr>
          <w:rFonts w:hint="eastAsia" w:hAnsi="宋体"/>
          <w:lang w:val="en-US" w:eastAsia="zh-CN" w:bidi="ar-SA"/>
        </w:rPr>
        <w:t>。与此同时，用人单位对我校毕业生能力、素质、知识等予以较高评价，“专业对口”“能力和知识结构符合工作要求”“学校声誉好”是其聘用我校应届毕业生的主要原因。</w:t>
      </w:r>
    </w:p>
    <w:p>
      <w:pPr>
        <w:pStyle w:val="159"/>
        <w:keepNext w:val="0"/>
        <w:widowControl/>
        <w:numPr>
          <w:ilvl w:val="2"/>
          <w:numId w:val="12"/>
        </w:numPr>
        <w:spacing w:before="120" w:after="120"/>
        <w:ind w:left="0"/>
        <w:rPr>
          <w:rFonts w:cs="宋体"/>
          <w:color w:val="006699"/>
        </w:rPr>
      </w:pPr>
      <w:bookmarkStart w:id="62" w:name="_Toc153811533"/>
      <w:r>
        <w:rPr>
          <w:rFonts w:cs="宋体"/>
          <w:color w:val="006699"/>
        </w:rPr>
        <w:drawing>
          <wp:anchor distT="0" distB="0" distL="114300" distR="114300" simplePos="0" relativeHeight="251709440" behindDoc="1" locked="0" layoutInCell="1" allowOverlap="1">
            <wp:simplePos x="0" y="0"/>
            <wp:positionH relativeFrom="column">
              <wp:posOffset>1383665</wp:posOffset>
            </wp:positionH>
            <wp:positionV relativeFrom="paragraph">
              <wp:posOffset>36195</wp:posOffset>
            </wp:positionV>
            <wp:extent cx="471805" cy="334645"/>
            <wp:effectExtent l="0" t="0" r="0" b="0"/>
            <wp:wrapNone/>
            <wp:docPr id="2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bookmarkStart w:id="63" w:name="_Toc256000217"/>
      <w:r>
        <w:rPr>
          <w:rFonts w:cs="宋体"/>
          <w:color w:val="006699"/>
        </w:rPr>
        <w:t>聘用标准</w:t>
      </w:r>
      <w:bookmarkEnd w:id="62"/>
      <w:bookmarkEnd w:id="63"/>
    </w:p>
    <w:p>
      <w:pPr>
        <w:pStyle w:val="161"/>
        <w:widowControl/>
        <w:numPr>
          <w:ilvl w:val="4"/>
          <w:numId w:val="12"/>
        </w:numPr>
        <w:spacing w:line="320" w:lineRule="auto"/>
        <w:outlineLvl w:val="9"/>
        <w:rPr>
          <w:rFonts w:cs="宋体"/>
          <w:color w:val="006699"/>
        </w:rPr>
      </w:pPr>
      <w:r>
        <w:rPr>
          <w:rFonts w:cs="宋体"/>
          <w:color w:val="006699"/>
        </w:rPr>
        <w:t>用人单位聘用本校毕业生的理由</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用人单位聘用我校</w:t>
      </w:r>
      <w:r>
        <w:rPr>
          <w:rFonts w:hint="eastAsia" w:cs="宋体"/>
          <w:color w:val="000000"/>
          <w:lang w:val="en-US" w:eastAsia="zh-CN" w:bidi="ar-SA"/>
        </w:rPr>
        <w:t>本科</w:t>
      </w:r>
      <w:r>
        <w:rPr>
          <w:rFonts w:cs="宋体"/>
          <w:color w:val="000000"/>
          <w:lang w:val="en-US" w:eastAsia="zh-CN" w:bidi="ar-SA"/>
        </w:rPr>
        <w:t>毕业生的主要理由是</w:t>
      </w:r>
      <w:r>
        <w:rPr>
          <w:rFonts w:ascii="宋体" w:hAnsi="宋体" w:cs="宋体"/>
          <w:color w:val="000000"/>
          <w:lang w:val="en-US" w:eastAsia="zh-CN" w:bidi="ar-SA"/>
        </w:rPr>
        <w:t>“</w:t>
      </w:r>
      <w:r>
        <w:rPr>
          <w:rFonts w:cs="宋体"/>
          <w:color w:val="000000"/>
          <w:lang w:val="en-US" w:eastAsia="zh-CN" w:bidi="ar-SA"/>
        </w:rPr>
        <w:t>专业对口</w:t>
      </w:r>
      <w:r>
        <w:rPr>
          <w:rFonts w:ascii="宋体" w:hAnsi="宋体" w:cs="宋体"/>
          <w:color w:val="000000"/>
          <w:lang w:val="en-US" w:eastAsia="zh-CN" w:bidi="ar-SA"/>
        </w:rPr>
        <w:t>”</w:t>
      </w:r>
      <w:r>
        <w:rPr>
          <w:rFonts w:cs="宋体"/>
          <w:color w:val="000000"/>
          <w:lang w:val="en-US" w:eastAsia="zh-CN" w:bidi="ar-SA"/>
        </w:rPr>
        <w:t>（90%），其后依次是</w:t>
      </w:r>
      <w:r>
        <w:rPr>
          <w:rFonts w:ascii="宋体" w:hAnsi="宋体" w:cs="宋体"/>
          <w:color w:val="000000"/>
          <w:lang w:val="en-US" w:eastAsia="zh-CN" w:bidi="ar-SA"/>
        </w:rPr>
        <w:t>“</w:t>
      </w:r>
      <w:r>
        <w:rPr>
          <w:rFonts w:cs="宋体"/>
          <w:color w:val="000000"/>
          <w:lang w:val="en-US" w:eastAsia="zh-CN" w:bidi="ar-SA"/>
        </w:rPr>
        <w:t>能力和知识结构符合工作要求</w:t>
      </w:r>
      <w:r>
        <w:rPr>
          <w:rFonts w:ascii="宋体" w:hAnsi="宋体" w:cs="宋体"/>
          <w:color w:val="000000"/>
          <w:lang w:val="en-US" w:eastAsia="zh-CN" w:bidi="ar-SA"/>
        </w:rPr>
        <w:t>”</w:t>
      </w:r>
      <w:r>
        <w:rPr>
          <w:rFonts w:cs="宋体"/>
          <w:color w:val="000000"/>
          <w:lang w:val="en-US" w:eastAsia="zh-CN" w:bidi="ar-SA"/>
        </w:rPr>
        <w:t>（82%）、</w:t>
      </w:r>
      <w:r>
        <w:rPr>
          <w:rFonts w:ascii="宋体" w:hAnsi="宋体" w:cs="宋体"/>
          <w:color w:val="000000"/>
          <w:lang w:val="en-US" w:eastAsia="zh-CN" w:bidi="ar-SA"/>
        </w:rPr>
        <w:t>“</w:t>
      </w:r>
      <w:r>
        <w:rPr>
          <w:rFonts w:cs="宋体"/>
          <w:color w:val="000000"/>
          <w:lang w:val="en-US" w:eastAsia="zh-CN" w:bidi="ar-SA"/>
        </w:rPr>
        <w:t>学校声誉好</w:t>
      </w:r>
      <w:r>
        <w:rPr>
          <w:rFonts w:ascii="宋体" w:hAnsi="宋体" w:cs="宋体"/>
          <w:color w:val="000000"/>
          <w:lang w:val="en-US" w:eastAsia="zh-CN" w:bidi="ar-SA"/>
        </w:rPr>
        <w:t>”</w:t>
      </w:r>
      <w:r>
        <w:rPr>
          <w:rFonts w:cs="宋体"/>
          <w:color w:val="000000"/>
          <w:lang w:val="en-US" w:eastAsia="zh-CN" w:bidi="ar-SA"/>
        </w:rPr>
        <w:t>（61%）等。</w:t>
      </w:r>
    </w:p>
    <w:p>
      <w:pPr>
        <w:jc w:val="center"/>
        <w:rPr>
          <w:rFonts w:cs="宋体"/>
          <w:color w:val="000000"/>
        </w:rPr>
      </w:pPr>
      <w:r>
        <w:drawing>
          <wp:inline distT="0" distB="0" distL="0" distR="0">
            <wp:extent cx="5219700" cy="2657475"/>
            <wp:effectExtent l="0" t="0" r="0" b="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19700" cy="265747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64" w:name="_Toc256000320"/>
      <w:bookmarkStart w:id="65" w:name="_Toc153811588"/>
      <w:r>
        <w:rPr>
          <w:rFonts w:cs="宋体"/>
          <w:color w:val="000000"/>
        </w:rPr>
        <w:t>用人单位聘用本校应届毕业生的主要理由（多选）</w:t>
      </w:r>
      <w:bookmarkEnd w:id="64"/>
      <w:bookmarkEnd w:id="65"/>
    </w:p>
    <w:p>
      <w:pPr>
        <w:pStyle w:val="165"/>
        <w:spacing w:line="360" w:lineRule="auto"/>
        <w:rPr>
          <w:rFonts w:cs="宋体"/>
          <w:color w:val="000000"/>
        </w:rPr>
      </w:pPr>
      <w:r>
        <w:rPr>
          <w:rFonts w:cs="宋体"/>
          <w:color w:val="000000"/>
        </w:rPr>
        <w:t>数据来源：麦可思-天津中医药大学2023年用人单位评价数据。</w:t>
      </w:r>
    </w:p>
    <w:p>
      <w:pPr>
        <w:rPr>
          <w:rFonts w:cs="宋体"/>
          <w:color w:val="000000"/>
          <w:sz w:val="18"/>
        </w:rPr>
      </w:pPr>
    </w:p>
    <w:p>
      <w:pPr>
        <w:pStyle w:val="161"/>
        <w:numPr>
          <w:ilvl w:val="4"/>
          <w:numId w:val="12"/>
        </w:numPr>
        <w:spacing w:line="320" w:lineRule="auto"/>
        <w:outlineLvl w:val="9"/>
        <w:rPr>
          <w:rFonts w:cs="宋体"/>
          <w:color w:val="006699"/>
        </w:rPr>
      </w:pPr>
      <w:r>
        <w:rPr>
          <w:rFonts w:cs="宋体"/>
          <w:color w:val="006699"/>
        </w:rPr>
        <w:t>用人单位聘用本校毕业生的渠道</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用人单位聘用我校</w:t>
      </w:r>
      <w:r>
        <w:rPr>
          <w:rFonts w:hint="eastAsia" w:cs="宋体"/>
          <w:color w:val="000000"/>
          <w:lang w:val="en-US" w:eastAsia="zh-CN" w:bidi="ar-SA"/>
        </w:rPr>
        <w:t>本科</w:t>
      </w:r>
      <w:r>
        <w:rPr>
          <w:rFonts w:cs="宋体"/>
          <w:color w:val="000000"/>
          <w:lang w:val="en-US" w:eastAsia="zh-CN" w:bidi="ar-SA"/>
        </w:rPr>
        <w:t>毕业生的最主要的渠道是</w:t>
      </w:r>
      <w:r>
        <w:rPr>
          <w:rFonts w:ascii="宋体" w:hAnsi="宋体" w:cs="宋体"/>
          <w:color w:val="000000"/>
          <w:lang w:val="en-US" w:eastAsia="zh-CN" w:bidi="ar-SA"/>
        </w:rPr>
        <w:t>“</w:t>
      </w:r>
      <w:r>
        <w:rPr>
          <w:rFonts w:cs="宋体"/>
          <w:color w:val="000000"/>
          <w:lang w:val="en-US" w:eastAsia="zh-CN" w:bidi="ar-SA"/>
        </w:rPr>
        <w:t>参加学校招聘会</w:t>
      </w:r>
      <w:r>
        <w:rPr>
          <w:rFonts w:ascii="宋体" w:hAnsi="宋体" w:cs="宋体"/>
          <w:color w:val="000000"/>
          <w:lang w:val="en-US" w:eastAsia="zh-CN" w:bidi="ar-SA"/>
        </w:rPr>
        <w:t>”</w:t>
      </w:r>
      <w:r>
        <w:rPr>
          <w:rFonts w:cs="宋体"/>
          <w:color w:val="000000"/>
          <w:lang w:val="en-US" w:eastAsia="zh-CN" w:bidi="ar-SA"/>
        </w:rPr>
        <w:t>（97%），其后依次是</w:t>
      </w:r>
      <w:r>
        <w:rPr>
          <w:rFonts w:ascii="宋体" w:hAnsi="宋体" w:cs="宋体"/>
          <w:color w:val="000000"/>
          <w:lang w:val="en-US" w:eastAsia="zh-CN" w:bidi="ar-SA"/>
        </w:rPr>
        <w:t>“</w:t>
      </w:r>
      <w:r>
        <w:rPr>
          <w:rFonts w:cs="宋体"/>
          <w:color w:val="000000"/>
          <w:lang w:val="en-US" w:eastAsia="zh-CN" w:bidi="ar-SA"/>
        </w:rPr>
        <w:t>通过学校发布招聘信息</w:t>
      </w:r>
      <w:r>
        <w:rPr>
          <w:rFonts w:ascii="宋体" w:hAnsi="宋体" w:cs="宋体"/>
          <w:color w:val="000000"/>
          <w:lang w:val="en-US" w:eastAsia="zh-CN" w:bidi="ar-SA"/>
        </w:rPr>
        <w:t>”</w:t>
      </w:r>
      <w:r>
        <w:rPr>
          <w:rFonts w:cs="宋体"/>
          <w:color w:val="000000"/>
          <w:lang w:val="en-US" w:eastAsia="zh-CN" w:bidi="ar-SA"/>
        </w:rPr>
        <w:t>（66%）、</w:t>
      </w:r>
      <w:r>
        <w:rPr>
          <w:rFonts w:ascii="宋体" w:hAnsi="宋体" w:cs="宋体"/>
          <w:color w:val="000000"/>
          <w:lang w:val="en-US" w:eastAsia="zh-CN" w:bidi="ar-SA"/>
        </w:rPr>
        <w:t>“</w:t>
      </w:r>
      <w:r>
        <w:rPr>
          <w:rFonts w:cs="宋体"/>
          <w:color w:val="000000"/>
          <w:lang w:val="en-US" w:eastAsia="zh-CN" w:bidi="ar-SA"/>
        </w:rPr>
        <w:t>通过专业招聘网站</w:t>
      </w:r>
      <w:r>
        <w:rPr>
          <w:rFonts w:ascii="宋体" w:hAnsi="宋体" w:cs="宋体"/>
          <w:color w:val="000000"/>
          <w:lang w:val="en-US" w:eastAsia="zh-CN" w:bidi="ar-SA"/>
        </w:rPr>
        <w:t>”</w:t>
      </w:r>
      <w:r>
        <w:rPr>
          <w:rFonts w:cs="宋体"/>
          <w:color w:val="000000"/>
          <w:lang w:val="en-US" w:eastAsia="zh-CN" w:bidi="ar-SA"/>
        </w:rPr>
        <w:t>（60%）等。</w:t>
      </w:r>
    </w:p>
    <w:p>
      <w:pPr>
        <w:jc w:val="center"/>
        <w:rPr>
          <w:rFonts w:cs="宋体"/>
          <w:color w:val="000000"/>
        </w:rPr>
      </w:pPr>
      <w:r>
        <w:drawing>
          <wp:inline distT="0" distB="0" distL="0" distR="0">
            <wp:extent cx="5219700" cy="2514600"/>
            <wp:effectExtent l="0" t="0" r="0" b="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66" w:name="_Toc256000321"/>
      <w:bookmarkStart w:id="67" w:name="_Toc153811589"/>
      <w:r>
        <w:rPr>
          <w:rFonts w:cs="宋体"/>
          <w:color w:val="000000"/>
        </w:rPr>
        <w:t>用人单位聘用本校毕业生的渠道（多选）</w:t>
      </w:r>
      <w:bookmarkEnd w:id="66"/>
      <w:bookmarkEnd w:id="67"/>
    </w:p>
    <w:p>
      <w:pPr>
        <w:pStyle w:val="165"/>
        <w:spacing w:line="360" w:lineRule="auto"/>
        <w:rPr>
          <w:rFonts w:cs="宋体"/>
          <w:color w:val="000000"/>
        </w:rPr>
      </w:pPr>
      <w:r>
        <w:rPr>
          <w:rFonts w:cs="宋体"/>
          <w:color w:val="000000"/>
        </w:rPr>
        <w:t>数据来源：麦可思-天津中医药大学2023年用人单位评价数据。</w:t>
      </w: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rPr>
      </w:pPr>
      <w:bookmarkStart w:id="68" w:name="_Toc153811534"/>
      <w:r>
        <w:rPr>
          <w:rFonts w:cs="宋体"/>
          <w:color w:val="006699"/>
        </w:rPr>
        <w:drawing>
          <wp:anchor distT="0" distB="0" distL="114300" distR="114300" simplePos="0" relativeHeight="251710464" behindDoc="1" locked="0" layoutInCell="1" allowOverlap="1">
            <wp:simplePos x="0" y="0"/>
            <wp:positionH relativeFrom="column">
              <wp:posOffset>1383665</wp:posOffset>
            </wp:positionH>
            <wp:positionV relativeFrom="paragraph">
              <wp:posOffset>36195</wp:posOffset>
            </wp:positionV>
            <wp:extent cx="471805" cy="334645"/>
            <wp:effectExtent l="0" t="0" r="0" b="0"/>
            <wp:wrapNone/>
            <wp:docPr id="23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bookmarkStart w:id="69" w:name="_Toc256000218"/>
      <w:r>
        <w:rPr>
          <w:rFonts w:cs="宋体"/>
          <w:color w:val="006699"/>
        </w:rPr>
        <w:t>使用评价</w:t>
      </w:r>
      <w:bookmarkEnd w:id="68"/>
      <w:bookmarkEnd w:id="69"/>
    </w:p>
    <w:p>
      <w:pPr>
        <w:pStyle w:val="161"/>
        <w:numPr>
          <w:ilvl w:val="4"/>
          <w:numId w:val="12"/>
        </w:numPr>
        <w:spacing w:line="320" w:lineRule="auto"/>
        <w:outlineLvl w:val="9"/>
        <w:rPr>
          <w:rFonts w:cs="宋体"/>
          <w:color w:val="006699"/>
        </w:rPr>
      </w:pPr>
      <w:r>
        <w:rPr>
          <w:rFonts w:cs="宋体"/>
          <w:color w:val="006699"/>
        </w:rPr>
        <w:t>用人单位对本校毕业生的总体满意度</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用人单位对我校</w:t>
      </w:r>
      <w:r>
        <w:rPr>
          <w:rFonts w:hint="eastAsia" w:cs="宋体"/>
          <w:color w:val="000000"/>
          <w:lang w:val="en-US" w:eastAsia="zh-CN" w:bidi="ar-SA"/>
        </w:rPr>
        <w:t>本科</w:t>
      </w:r>
      <w:r>
        <w:rPr>
          <w:rFonts w:cs="宋体"/>
          <w:color w:val="000000"/>
          <w:lang w:val="en-US" w:eastAsia="zh-CN" w:bidi="ar-SA"/>
        </w:rPr>
        <w:t>毕业生的总体满意度为100%，其中很满意的比例为64%。</w:t>
      </w:r>
    </w:p>
    <w:p>
      <w:pPr>
        <w:jc w:val="center"/>
        <w:rPr>
          <w:rFonts w:cs="宋体"/>
          <w:color w:val="000000"/>
        </w:rPr>
      </w:pPr>
      <w:r>
        <w:drawing>
          <wp:inline distT="0" distB="0" distL="0" distR="0">
            <wp:extent cx="5219700" cy="2524125"/>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19700" cy="25241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70" w:name="_Toc256000322"/>
      <w:bookmarkStart w:id="71" w:name="_Toc153811590"/>
      <w:r>
        <w:rPr>
          <w:rFonts w:cs="宋体"/>
          <w:color w:val="000000"/>
        </w:rPr>
        <w:t>用人单位对本校应届毕业生的总体满意度</w:t>
      </w:r>
      <w:bookmarkEnd w:id="70"/>
      <w:bookmarkEnd w:id="71"/>
    </w:p>
    <w:p>
      <w:pPr>
        <w:pStyle w:val="165"/>
        <w:spacing w:line="360" w:lineRule="auto"/>
        <w:rPr>
          <w:rFonts w:cs="宋体"/>
          <w:color w:val="000000"/>
        </w:rPr>
      </w:pPr>
      <w:r>
        <w:rPr>
          <w:rFonts w:cs="宋体"/>
          <w:color w:val="000000"/>
        </w:rPr>
        <w:t>数据来源：麦可思-天津中医药大学2023年用人单位评价数据。</w:t>
      </w:r>
    </w:p>
    <w:p>
      <w:pPr>
        <w:rPr>
          <w:rFonts w:cs="宋体"/>
          <w:color w:val="000000"/>
          <w:sz w:val="18"/>
        </w:rPr>
      </w:pPr>
    </w:p>
    <w:p>
      <w:pPr>
        <w:pStyle w:val="161"/>
        <w:numPr>
          <w:ilvl w:val="4"/>
          <w:numId w:val="12"/>
        </w:numPr>
        <w:spacing w:line="320" w:lineRule="auto"/>
        <w:outlineLvl w:val="9"/>
        <w:rPr>
          <w:rFonts w:cs="宋体"/>
          <w:color w:val="006699"/>
        </w:rPr>
      </w:pPr>
      <w:r>
        <w:rPr>
          <w:rFonts w:cs="宋体"/>
          <w:color w:val="006699"/>
        </w:rPr>
        <w:t>用人单位继续招聘本校毕业生的意愿</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聘用过我校</w:t>
      </w:r>
      <w:r>
        <w:rPr>
          <w:rFonts w:hint="eastAsia" w:cs="宋体"/>
          <w:color w:val="000000"/>
          <w:lang w:val="en-US" w:eastAsia="zh-CN" w:bidi="ar-SA"/>
        </w:rPr>
        <w:t>本科</w:t>
      </w:r>
      <w:r>
        <w:rPr>
          <w:rFonts w:cs="宋体"/>
          <w:color w:val="000000"/>
          <w:lang w:val="en-US" w:eastAsia="zh-CN" w:bidi="ar-SA"/>
        </w:rPr>
        <w:t>应届毕业生的用人单位</w:t>
      </w:r>
      <w:r>
        <w:rPr>
          <w:rFonts w:hint="eastAsia" w:cs="宋体"/>
          <w:color w:val="000000"/>
          <w:lang w:val="en-US" w:eastAsia="zh-CN" w:bidi="ar-SA"/>
        </w:rPr>
        <w:t>中有</w:t>
      </w:r>
      <w:r>
        <w:rPr>
          <w:rFonts w:cs="宋体"/>
          <w:color w:val="000000"/>
          <w:lang w:val="en-US" w:eastAsia="zh-CN" w:bidi="ar-SA"/>
        </w:rPr>
        <w:t>98%表示未来愿意继续招聘我校毕业生。</w:t>
      </w:r>
    </w:p>
    <w:p>
      <w:pPr>
        <w:jc w:val="center"/>
        <w:rPr>
          <w:rFonts w:cs="宋体"/>
          <w:color w:val="000000"/>
        </w:rPr>
      </w:pPr>
      <w:r>
        <w:drawing>
          <wp:inline distT="0" distB="0" distL="0" distR="0">
            <wp:extent cx="5219700" cy="2514600"/>
            <wp:effectExtent l="0" t="0" r="0" b="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72" w:name="_Toc153811591"/>
      <w:bookmarkStart w:id="73" w:name="_Toc256000324"/>
      <w:r>
        <w:rPr>
          <w:rFonts w:cs="宋体"/>
          <w:color w:val="000000"/>
        </w:rPr>
        <w:t>用人单位愿意继续招聘本校应届毕业生的比例</w:t>
      </w:r>
      <w:bookmarkEnd w:id="72"/>
      <w:bookmarkEnd w:id="73"/>
    </w:p>
    <w:p>
      <w:pPr>
        <w:pStyle w:val="165"/>
        <w:spacing w:line="360" w:lineRule="auto"/>
        <w:rPr>
          <w:rFonts w:cs="宋体"/>
          <w:color w:val="000000"/>
        </w:rPr>
      </w:pPr>
      <w:r>
        <w:rPr>
          <w:rFonts w:cs="宋体"/>
          <w:color w:val="000000"/>
        </w:rPr>
        <w:t>数据来源：麦可思-天津中医药大学2023年用人单位评价数据。</w:t>
      </w:r>
    </w:p>
    <w:p>
      <w:pPr>
        <w:pStyle w:val="165"/>
        <w:spacing w:line="360" w:lineRule="auto"/>
        <w:rPr>
          <w:rFonts w:cs="宋体"/>
          <w:color w:val="000000"/>
        </w:rPr>
      </w:pPr>
    </w:p>
    <w:p>
      <w:pPr>
        <w:pStyle w:val="161"/>
        <w:numPr>
          <w:ilvl w:val="4"/>
          <w:numId w:val="12"/>
        </w:numPr>
        <w:spacing w:line="320" w:lineRule="auto"/>
        <w:outlineLvl w:val="9"/>
        <w:rPr>
          <w:rFonts w:hint="eastAsia" w:cs="宋体"/>
          <w:color w:val="006699"/>
        </w:rPr>
      </w:pPr>
      <w:r>
        <w:rPr>
          <w:rFonts w:hint="eastAsia" w:cs="宋体"/>
          <w:color w:val="006699"/>
        </w:rPr>
        <w:t>用人单位招聘本校少数民族毕业生的意愿</w:t>
      </w:r>
    </w:p>
    <w:p>
      <w:pPr>
        <w:pStyle w:val="165"/>
        <w:widowControl w:val="0"/>
        <w:spacing w:after="120" w:line="360" w:lineRule="auto"/>
        <w:ind w:firstLine="420" w:firstLineChars="200"/>
        <w:jc w:val="both"/>
        <w:rPr>
          <w:rFonts w:hAnsi="宋体" w:cs="宋体"/>
          <w:kern w:val="2"/>
          <w:sz w:val="21"/>
        </w:rPr>
      </w:pPr>
      <w:r>
        <w:rPr>
          <w:rFonts w:hint="eastAsia" w:hAnsi="宋体" w:cs="宋体"/>
          <w:kern w:val="2"/>
          <w:sz w:val="21"/>
        </w:rPr>
        <w:t>聘用过我校本科应届毕业生的用人单位中有9</w:t>
      </w:r>
      <w:r>
        <w:rPr>
          <w:rFonts w:hAnsi="宋体" w:cs="宋体"/>
          <w:kern w:val="2"/>
          <w:sz w:val="21"/>
        </w:rPr>
        <w:t>3</w:t>
      </w:r>
      <w:r>
        <w:rPr>
          <w:rFonts w:hint="eastAsia" w:hAnsi="宋体" w:cs="宋体"/>
          <w:kern w:val="2"/>
          <w:sz w:val="21"/>
        </w:rPr>
        <w:t>%表示未来愿意继续招聘我校少数民族毕业生。</w:t>
      </w:r>
    </w:p>
    <w:p>
      <w:pPr>
        <w:pStyle w:val="165"/>
        <w:spacing w:line="360" w:lineRule="auto"/>
        <w:jc w:val="center"/>
        <w:rPr>
          <w:rFonts w:cs="宋体"/>
          <w:color w:val="000000"/>
        </w:rPr>
      </w:pPr>
      <w:r>
        <w:rPr>
          <w:rFonts w:cs="宋体"/>
          <w:color w:val="000000"/>
        </w:rPr>
        <w:drawing>
          <wp:inline distT="0" distB="0" distL="0" distR="0">
            <wp:extent cx="5219700" cy="2562225"/>
            <wp:effectExtent l="0" t="0" r="0" b="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19700" cy="2562225"/>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74" w:name="_Toc153811592"/>
      <w:r>
        <w:rPr>
          <w:rFonts w:cs="宋体"/>
          <w:color w:val="000000"/>
        </w:rPr>
        <w:t>用人单位</w:t>
      </w:r>
      <w:r>
        <w:rPr>
          <w:rFonts w:hint="eastAsia" w:cs="宋体"/>
          <w:color w:val="000000"/>
        </w:rPr>
        <w:t>招聘本校少数民族毕业生的意愿</w:t>
      </w:r>
      <w:bookmarkEnd w:id="74"/>
    </w:p>
    <w:p>
      <w:pPr>
        <w:pStyle w:val="165"/>
        <w:spacing w:line="360" w:lineRule="auto"/>
        <w:rPr>
          <w:rFonts w:cs="宋体"/>
          <w:color w:val="000000"/>
        </w:rPr>
      </w:pPr>
      <w:r>
        <w:rPr>
          <w:rFonts w:cs="宋体"/>
          <w:color w:val="000000"/>
        </w:rPr>
        <w:t>数据来源：麦可思-天津中医药大学2023年用人单位评价数据。</w:t>
      </w:r>
    </w:p>
    <w:p>
      <w:pPr>
        <w:pStyle w:val="165"/>
        <w:spacing w:line="360" w:lineRule="auto"/>
        <w:rPr>
          <w:rFonts w:hint="eastAsia" w:cs="宋体"/>
          <w:color w:val="000000"/>
        </w:rPr>
      </w:pP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rPr>
      </w:pPr>
      <w:bookmarkStart w:id="75" w:name="_Toc153811535"/>
      <w:r>
        <w:rPr>
          <w:rFonts w:cs="宋体"/>
          <w:color w:val="006699"/>
        </w:rPr>
        <w:drawing>
          <wp:anchor distT="0" distB="0" distL="114300" distR="114300" simplePos="0" relativeHeight="251711488" behindDoc="1" locked="0" layoutInCell="1" allowOverlap="1">
            <wp:simplePos x="0" y="0"/>
            <wp:positionH relativeFrom="column">
              <wp:posOffset>759460</wp:posOffset>
            </wp:positionH>
            <wp:positionV relativeFrom="paragraph">
              <wp:posOffset>36195</wp:posOffset>
            </wp:positionV>
            <wp:extent cx="471805" cy="334645"/>
            <wp:effectExtent l="0" t="0" r="0" b="0"/>
            <wp:wrapNone/>
            <wp:docPr id="2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bookmarkStart w:id="76" w:name="_Toc256000219"/>
      <w:r>
        <w:rPr>
          <w:rFonts w:cs="宋体"/>
          <w:color w:val="006699"/>
        </w:rPr>
        <w:t>能力、素质、知识需求</w:t>
      </w:r>
      <w:bookmarkEnd w:id="75"/>
      <w:bookmarkEnd w:id="76"/>
    </w:p>
    <w:p>
      <w:pPr>
        <w:pStyle w:val="161"/>
        <w:numPr>
          <w:ilvl w:val="4"/>
          <w:numId w:val="12"/>
        </w:numPr>
        <w:spacing w:line="320" w:lineRule="auto"/>
        <w:outlineLvl w:val="9"/>
        <w:rPr>
          <w:rFonts w:cs="宋体"/>
          <w:color w:val="006699"/>
        </w:rPr>
      </w:pPr>
      <w:r>
        <w:rPr>
          <w:rFonts w:cs="宋体"/>
          <w:color w:val="006699"/>
        </w:rPr>
        <w:t>用人单位对毕业生工作能力的需求程度及满意度</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招聘过我校</w:t>
      </w:r>
      <w:r>
        <w:rPr>
          <w:rFonts w:hint="eastAsia" w:cs="宋体"/>
          <w:color w:val="000000"/>
          <w:lang w:val="en-US" w:eastAsia="zh-CN" w:bidi="ar-SA"/>
        </w:rPr>
        <w:t>本科</w:t>
      </w:r>
      <w:r>
        <w:rPr>
          <w:rFonts w:cs="宋体"/>
          <w:color w:val="000000"/>
          <w:lang w:val="en-US" w:eastAsia="zh-CN" w:bidi="ar-SA"/>
        </w:rPr>
        <w:t>应届毕业生的用人单位对毕业生</w:t>
      </w:r>
      <w:r>
        <w:rPr>
          <w:rFonts w:ascii="宋体" w:hAnsi="宋体" w:cs="宋体"/>
          <w:color w:val="000000"/>
          <w:lang w:val="en-US" w:eastAsia="zh-CN" w:bidi="ar-SA"/>
        </w:rPr>
        <w:t>“</w:t>
      </w:r>
      <w:r>
        <w:rPr>
          <w:rFonts w:cs="宋体"/>
          <w:color w:val="000000"/>
          <w:lang w:val="en-US" w:eastAsia="zh-CN" w:bidi="ar-SA"/>
        </w:rPr>
        <w:t>团队合作能力</w:t>
      </w:r>
      <w:r>
        <w:rPr>
          <w:rFonts w:ascii="宋体" w:hAnsi="宋体" w:cs="宋体"/>
          <w:color w:val="000000"/>
          <w:lang w:val="en-US" w:eastAsia="zh-CN" w:bidi="ar-SA"/>
        </w:rPr>
        <w:t>”</w:t>
      </w:r>
      <w:r>
        <w:rPr>
          <w:rFonts w:cs="宋体"/>
          <w:color w:val="000000"/>
          <w:lang w:val="en-US" w:eastAsia="zh-CN" w:bidi="ar-SA"/>
        </w:rPr>
        <w:t>的需求程度（4.6分）最高，对</w:t>
      </w:r>
      <w:r>
        <w:rPr>
          <w:rFonts w:hint="eastAsia" w:ascii="宋体" w:hAnsi="宋体" w:cs="宋体"/>
          <w:color w:val="000000"/>
          <w:lang w:val="en-US" w:eastAsia="zh-CN" w:bidi="ar-SA"/>
        </w:rPr>
        <w:t>该项能力</w:t>
      </w:r>
      <w:r>
        <w:rPr>
          <w:rFonts w:cs="宋体"/>
          <w:color w:val="000000"/>
          <w:lang w:val="en-US" w:eastAsia="zh-CN" w:bidi="ar-SA"/>
        </w:rPr>
        <w:t>的满意度</w:t>
      </w:r>
      <w:r>
        <w:rPr>
          <w:rFonts w:hint="eastAsia" w:cs="宋体"/>
          <w:color w:val="000000"/>
          <w:lang w:val="en-US" w:eastAsia="zh-CN" w:bidi="ar-SA"/>
        </w:rPr>
        <w:t>为</w:t>
      </w:r>
      <w:r>
        <w:rPr>
          <w:rFonts w:cs="宋体"/>
          <w:color w:val="000000"/>
          <w:lang w:val="en-US" w:eastAsia="zh-CN" w:bidi="ar-SA"/>
        </w:rPr>
        <w:t>98%。</w:t>
      </w:r>
    </w:p>
    <w:p>
      <w:pPr>
        <w:jc w:val="center"/>
        <w:rPr>
          <w:rFonts w:cs="宋体"/>
          <w:color w:val="000000"/>
        </w:rPr>
      </w:pPr>
      <w:r>
        <w:drawing>
          <wp:inline distT="0" distB="0" distL="0" distR="0">
            <wp:extent cx="5219700" cy="5067300"/>
            <wp:effectExtent l="0" t="0" r="0"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19700" cy="50673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77" w:name="_Toc153811593"/>
      <w:bookmarkStart w:id="78" w:name="_Toc256000325"/>
      <w:r>
        <w:rPr>
          <w:rFonts w:cs="宋体"/>
          <w:color w:val="000000"/>
        </w:rPr>
        <w:t>用人单位对毕业生工作能力的需求程度及满意程度</w:t>
      </w:r>
      <w:bookmarkEnd w:id="77"/>
      <w:bookmarkEnd w:id="78"/>
    </w:p>
    <w:p>
      <w:pPr>
        <w:pStyle w:val="165"/>
        <w:spacing w:line="360" w:lineRule="auto"/>
        <w:rPr>
          <w:rFonts w:cs="宋体"/>
          <w:color w:val="000000"/>
        </w:rPr>
      </w:pPr>
      <w:r>
        <w:rPr>
          <w:rFonts w:cs="宋体"/>
          <w:color w:val="000000"/>
        </w:rPr>
        <w:t>数据来源：麦可思-天津中医药大学2023年用人单位评价数据。</w:t>
      </w:r>
    </w:p>
    <w:p>
      <w:pPr>
        <w:rPr>
          <w:rFonts w:cs="宋体"/>
          <w:color w:val="000000"/>
          <w:sz w:val="18"/>
        </w:rPr>
      </w:pPr>
    </w:p>
    <w:p>
      <w:pPr>
        <w:rPr>
          <w:rFonts w:cs="宋体"/>
          <w:color w:val="000000"/>
          <w:sz w:val="18"/>
        </w:rPr>
      </w:pPr>
    </w:p>
    <w:p>
      <w:pPr>
        <w:pStyle w:val="161"/>
        <w:numPr>
          <w:ilvl w:val="4"/>
          <w:numId w:val="12"/>
        </w:numPr>
        <w:spacing w:line="320" w:lineRule="auto"/>
        <w:outlineLvl w:val="9"/>
        <w:rPr>
          <w:rFonts w:cs="宋体"/>
          <w:color w:val="006699"/>
        </w:rPr>
      </w:pPr>
      <w:r>
        <w:rPr>
          <w:rFonts w:cs="宋体"/>
          <w:color w:val="006699"/>
        </w:rPr>
        <w:t>用人单位对毕业生个人素质的需求程度及满意度</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招聘过我校</w:t>
      </w:r>
      <w:r>
        <w:rPr>
          <w:rFonts w:hint="eastAsia" w:cs="宋体"/>
          <w:color w:val="000000"/>
          <w:lang w:val="en-US" w:eastAsia="zh-CN" w:bidi="ar-SA"/>
        </w:rPr>
        <w:t>本科</w:t>
      </w:r>
      <w:r>
        <w:rPr>
          <w:rFonts w:cs="宋体"/>
          <w:color w:val="000000"/>
          <w:lang w:val="en-US" w:eastAsia="zh-CN" w:bidi="ar-SA"/>
        </w:rPr>
        <w:t>应届毕业生的用人单位对毕业生个人素质中</w:t>
      </w:r>
      <w:r>
        <w:rPr>
          <w:rFonts w:ascii="宋体" w:hAnsi="宋体" w:cs="宋体"/>
          <w:color w:val="000000"/>
          <w:lang w:val="en-US" w:eastAsia="zh-CN" w:bidi="ar-SA"/>
        </w:rPr>
        <w:t>“</w:t>
      </w:r>
      <w:r>
        <w:rPr>
          <w:rFonts w:cs="宋体"/>
          <w:color w:val="000000"/>
          <w:lang w:val="en-US" w:eastAsia="zh-CN" w:bidi="ar-SA"/>
        </w:rPr>
        <w:t>社会责任感</w:t>
      </w:r>
      <w:r>
        <w:rPr>
          <w:rFonts w:ascii="宋体" w:hAnsi="宋体" w:cs="宋体"/>
          <w:color w:val="000000"/>
          <w:lang w:val="en-US" w:eastAsia="zh-CN" w:bidi="ar-SA"/>
        </w:rPr>
        <w:t>”“</w:t>
      </w:r>
      <w:r>
        <w:rPr>
          <w:rFonts w:cs="宋体"/>
          <w:color w:val="000000"/>
          <w:lang w:val="en-US" w:eastAsia="zh-CN" w:bidi="ar-SA"/>
        </w:rPr>
        <w:t>主动性和进取心</w:t>
      </w:r>
      <w:r>
        <w:rPr>
          <w:rFonts w:ascii="宋体" w:hAnsi="宋体" w:cs="宋体"/>
          <w:color w:val="000000"/>
          <w:lang w:val="en-US" w:eastAsia="zh-CN" w:bidi="ar-SA"/>
        </w:rPr>
        <w:t>”</w:t>
      </w:r>
      <w:r>
        <w:rPr>
          <w:rFonts w:cs="宋体"/>
          <w:color w:val="000000"/>
          <w:lang w:val="en-US" w:eastAsia="zh-CN" w:bidi="ar-SA"/>
        </w:rPr>
        <w:t>的需求程度（</w:t>
      </w:r>
      <w:r>
        <w:rPr>
          <w:rFonts w:hint="eastAsia" w:cs="宋体"/>
          <w:color w:val="000000"/>
          <w:lang w:val="en-US" w:eastAsia="zh-CN" w:bidi="ar-SA"/>
        </w:rPr>
        <w:t>均</w:t>
      </w:r>
      <w:r>
        <w:rPr>
          <w:rFonts w:cs="宋体"/>
          <w:color w:val="000000"/>
          <w:lang w:val="en-US" w:eastAsia="zh-CN" w:bidi="ar-SA"/>
        </w:rPr>
        <w:t>为4.6分）相对较高，其满意度</w:t>
      </w:r>
      <w:r>
        <w:rPr>
          <w:rFonts w:hint="eastAsia" w:cs="宋体"/>
          <w:color w:val="000000"/>
          <w:lang w:val="en-US" w:eastAsia="zh-CN" w:bidi="ar-SA"/>
        </w:rPr>
        <w:t>均</w:t>
      </w:r>
      <w:r>
        <w:rPr>
          <w:rFonts w:cs="宋体"/>
          <w:color w:val="000000"/>
          <w:lang w:val="en-US" w:eastAsia="zh-CN" w:bidi="ar-SA"/>
        </w:rPr>
        <w:t>为98%。</w:t>
      </w:r>
    </w:p>
    <w:p>
      <w:pPr>
        <w:jc w:val="center"/>
        <w:rPr>
          <w:rFonts w:cs="宋体"/>
          <w:color w:val="000000"/>
        </w:rPr>
      </w:pPr>
      <w:r>
        <w:drawing>
          <wp:inline distT="0" distB="0" distL="0" distR="0">
            <wp:extent cx="5219700" cy="2152650"/>
            <wp:effectExtent l="0" t="0" r="0" b="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19700" cy="21526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79" w:name="_Toc153811594"/>
      <w:bookmarkStart w:id="80" w:name="_Toc256000327"/>
      <w:r>
        <w:rPr>
          <w:rFonts w:cs="宋体"/>
          <w:color w:val="000000"/>
        </w:rPr>
        <w:t>用人单位对毕业生个人素质的需求程度及满意程度</w:t>
      </w:r>
      <w:bookmarkEnd w:id="79"/>
      <w:bookmarkEnd w:id="80"/>
    </w:p>
    <w:p>
      <w:pPr>
        <w:pStyle w:val="165"/>
        <w:spacing w:line="360" w:lineRule="auto"/>
        <w:rPr>
          <w:rFonts w:cs="宋体"/>
          <w:color w:val="000000"/>
        </w:rPr>
      </w:pPr>
      <w:r>
        <w:rPr>
          <w:rFonts w:cs="宋体"/>
          <w:color w:val="000000"/>
        </w:rPr>
        <w:t>数据来源：麦可思-天津中医药大学2023年用人单位评价数据。</w:t>
      </w:r>
    </w:p>
    <w:p>
      <w:pPr>
        <w:pStyle w:val="165"/>
        <w:spacing w:line="360" w:lineRule="auto"/>
        <w:rPr>
          <w:rFonts w:hint="eastAsia" w:cs="宋体"/>
          <w:color w:val="000000"/>
        </w:rPr>
      </w:pPr>
    </w:p>
    <w:p>
      <w:pPr>
        <w:pStyle w:val="161"/>
        <w:numPr>
          <w:ilvl w:val="4"/>
          <w:numId w:val="12"/>
        </w:numPr>
        <w:spacing w:line="320" w:lineRule="auto"/>
        <w:outlineLvl w:val="9"/>
        <w:rPr>
          <w:rFonts w:cs="宋体"/>
          <w:color w:val="006699"/>
        </w:rPr>
      </w:pPr>
      <w:r>
        <w:rPr>
          <w:rFonts w:cs="宋体"/>
          <w:color w:val="006699"/>
        </w:rPr>
        <w:t>用人单位对毕业生知识水平的需求程度及满意度</w:t>
      </w:r>
    </w:p>
    <w:p>
      <w:pPr>
        <w:pStyle w:val="164"/>
        <w:keepNext/>
        <w:spacing w:line="360" w:lineRule="auto"/>
        <w:ind w:firstLine="420"/>
        <w:jc w:val="both"/>
        <w:rPr>
          <w:rFonts w:cs="宋体"/>
          <w:color w:val="000000"/>
          <w:lang w:val="en-US" w:eastAsia="zh-CN" w:bidi="ar-SA"/>
        </w:rPr>
      </w:pPr>
      <w:r>
        <w:rPr>
          <w:rFonts w:cs="宋体"/>
          <w:color w:val="000000"/>
          <w:lang w:val="en-US" w:eastAsia="zh-CN" w:bidi="ar-SA"/>
        </w:rPr>
        <w:t>招聘过我校</w:t>
      </w:r>
      <w:r>
        <w:rPr>
          <w:rFonts w:hint="eastAsia" w:cs="宋体"/>
          <w:color w:val="000000"/>
          <w:lang w:val="en-US" w:eastAsia="zh-CN" w:bidi="ar-SA"/>
        </w:rPr>
        <w:t>本科</w:t>
      </w:r>
      <w:r>
        <w:rPr>
          <w:rFonts w:cs="宋体"/>
          <w:color w:val="000000"/>
          <w:lang w:val="en-US" w:eastAsia="zh-CN" w:bidi="ar-SA"/>
        </w:rPr>
        <w:t>应届毕业生的用人单位对毕业生</w:t>
      </w:r>
      <w:r>
        <w:rPr>
          <w:rFonts w:ascii="宋体" w:hAnsi="宋体" w:cs="宋体"/>
          <w:color w:val="000000"/>
          <w:lang w:val="en-US" w:eastAsia="zh-CN" w:bidi="ar-SA"/>
        </w:rPr>
        <w:t>“</w:t>
      </w:r>
      <w:r>
        <w:rPr>
          <w:rFonts w:cs="宋体"/>
          <w:color w:val="000000"/>
          <w:lang w:val="en-US" w:eastAsia="zh-CN" w:bidi="ar-SA"/>
        </w:rPr>
        <w:t>专业基础知识</w:t>
      </w:r>
      <w:r>
        <w:rPr>
          <w:rFonts w:ascii="宋体" w:hAnsi="宋体" w:cs="宋体"/>
          <w:color w:val="000000"/>
          <w:lang w:val="en-US" w:eastAsia="zh-CN" w:bidi="ar-SA"/>
        </w:rPr>
        <w:t>”“</w:t>
      </w:r>
      <w:r>
        <w:rPr>
          <w:rFonts w:cs="宋体"/>
          <w:color w:val="000000"/>
          <w:lang w:val="en-US" w:eastAsia="zh-CN" w:bidi="ar-SA"/>
        </w:rPr>
        <w:t>专业前沿知识</w:t>
      </w:r>
      <w:r>
        <w:rPr>
          <w:rFonts w:ascii="宋体" w:hAnsi="宋体" w:cs="宋体"/>
          <w:color w:val="000000"/>
          <w:lang w:val="en-US" w:eastAsia="zh-CN" w:bidi="ar-SA"/>
        </w:rPr>
        <w:t>”</w:t>
      </w:r>
      <w:r>
        <w:rPr>
          <w:rFonts w:cs="宋体"/>
          <w:color w:val="000000"/>
          <w:lang w:val="en-US" w:eastAsia="zh-CN" w:bidi="ar-SA"/>
        </w:rPr>
        <w:t>的需求程度</w:t>
      </w:r>
      <w:r>
        <w:rPr>
          <w:rFonts w:hint="eastAsia" w:cs="宋体"/>
          <w:color w:val="000000"/>
          <w:lang w:val="en-US" w:eastAsia="zh-CN" w:bidi="ar-SA"/>
        </w:rPr>
        <w:t>均</w:t>
      </w:r>
      <w:r>
        <w:rPr>
          <w:rFonts w:cs="宋体"/>
          <w:color w:val="000000"/>
          <w:lang w:val="en-US" w:eastAsia="zh-CN" w:bidi="ar-SA"/>
        </w:rPr>
        <w:t>为4.6分，满意度</w:t>
      </w:r>
      <w:r>
        <w:rPr>
          <w:rFonts w:hint="eastAsia" w:cs="宋体"/>
          <w:color w:val="000000"/>
          <w:lang w:val="en-US" w:eastAsia="zh-CN" w:bidi="ar-SA"/>
        </w:rPr>
        <w:t>均达到</w:t>
      </w:r>
      <w:r>
        <w:rPr>
          <w:rFonts w:cs="宋体"/>
          <w:color w:val="000000"/>
          <w:lang w:val="en-US" w:eastAsia="zh-CN" w:bidi="ar-SA"/>
        </w:rPr>
        <w:t>100%。</w:t>
      </w:r>
    </w:p>
    <w:p>
      <w:pPr>
        <w:jc w:val="center"/>
        <w:rPr>
          <w:rFonts w:cs="宋体"/>
          <w:color w:val="000000"/>
        </w:rPr>
      </w:pPr>
      <w:r>
        <w:drawing>
          <wp:inline distT="0" distB="0" distL="0" distR="0">
            <wp:extent cx="5219700" cy="1828800"/>
            <wp:effectExtent l="0" t="0" r="0" b="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19700" cy="18288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81" w:name="_Toc256000329"/>
      <w:bookmarkStart w:id="82" w:name="_Toc153811595"/>
      <w:r>
        <w:rPr>
          <w:rFonts w:cs="宋体"/>
          <w:color w:val="000000"/>
        </w:rPr>
        <w:t>用人单位对毕业生知识水平的需求程度及满意程度</w:t>
      </w:r>
      <w:bookmarkEnd w:id="81"/>
      <w:bookmarkEnd w:id="82"/>
    </w:p>
    <w:p>
      <w:pPr>
        <w:pStyle w:val="165"/>
        <w:spacing w:line="360" w:lineRule="auto"/>
        <w:rPr>
          <w:rFonts w:cs="宋体"/>
          <w:color w:val="000000"/>
        </w:rPr>
      </w:pPr>
      <w:r>
        <w:rPr>
          <w:rFonts w:cs="宋体"/>
          <w:color w:val="000000"/>
        </w:rPr>
        <w:t>数据来源：麦可思-天津中医药大学2023年用人单位评价数据。</w:t>
      </w:r>
    </w:p>
    <w:p>
      <w:pPr>
        <w:rPr>
          <w:rFonts w:cs="宋体"/>
          <w:color w:val="000000"/>
          <w:sz w:val="18"/>
        </w:rPr>
      </w:pP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sectPr>
          <w:footnotePr>
            <w:numRestart w:val="eachPage"/>
          </w:footnotePr>
          <w:pgSz w:w="11906" w:h="16838"/>
          <w:pgMar w:top="1984" w:right="1531" w:bottom="1701" w:left="1701" w:header="992" w:footer="850" w:gutter="0"/>
          <w:cols w:space="708" w:num="1"/>
          <w:docGrid w:linePitch="360" w:charSpace="0"/>
        </w:sectPr>
      </w:pPr>
      <w:r>
        <mc:AlternateContent>
          <mc:Choice Requires="wps">
            <w:drawing>
              <wp:anchor distT="0" distB="0" distL="114300" distR="114300" simplePos="0" relativeHeight="251686912" behindDoc="0" locked="0" layoutInCell="1" allowOverlap="1">
                <wp:simplePos x="0" y="0"/>
                <wp:positionH relativeFrom="page">
                  <wp:posOffset>295275</wp:posOffset>
                </wp:positionH>
                <wp:positionV relativeFrom="page">
                  <wp:posOffset>4532630</wp:posOffset>
                </wp:positionV>
                <wp:extent cx="6480175" cy="460375"/>
                <wp:effectExtent l="0" t="0" r="0" b="0"/>
                <wp:wrapNone/>
                <wp:docPr id="989906816" name="Rectangle 100004"/>
                <wp:cNvGraphicFramePr/>
                <a:graphic xmlns:a="http://schemas.openxmlformats.org/drawingml/2006/main">
                  <a:graphicData uri="http://schemas.microsoft.com/office/word/2010/wordprocessingShape">
                    <wps:wsp>
                      <wps:cNvSpPr>
                        <a:spLocks noChangeArrowheads="1"/>
                      </wps:cNvSpPr>
                      <wps:spPr bwMode="auto">
                        <a:xfrm>
                          <a:off x="0" y="0"/>
                          <a:ext cx="6480175" cy="460375"/>
                        </a:xfrm>
                        <a:prstGeom prst="rect">
                          <a:avLst/>
                        </a:prstGeom>
                        <a:solidFill>
                          <a:srgbClr val="579DC2"/>
                        </a:solidFill>
                        <a:ln>
                          <a:noFill/>
                        </a:ln>
                      </wps:spPr>
                      <wps:bodyPr rot="0" vert="horz" wrap="square" lIns="91440" tIns="45720" rIns="91440" bIns="45720" anchor="ctr" anchorCtr="0" upright="1">
                        <a:noAutofit/>
                      </wps:bodyPr>
                    </wps:wsp>
                  </a:graphicData>
                </a:graphic>
              </wp:anchor>
            </w:drawing>
          </mc:Choice>
          <mc:Fallback>
            <w:pict>
              <v:rect id="Rectangle 100004" o:spid="_x0000_s1026" o:spt="1" style="position:absolute;left:0pt;margin-left:23.25pt;margin-top:356.9pt;height:36.25pt;width:510.25pt;mso-position-horizontal-relative:page;mso-position-vertical-relative:page;z-index:251686912;v-text-anchor:middle;mso-width-relative:page;mso-height-relative:page;" fillcolor="#579DC2" filled="t" stroked="f" coordsize="21600,21600" o:gfxdata="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xCxH9oA&#10;AAALAQAADwAAAAAAAAABACAAAAAiAAAAZHJzL2Rvd25yZXYueG1sUEsBAhQAFAAAAAgAh07iQCS2&#10;17MdAgAAOAQAAA4AAAAAAAAAAQAgAAAAKQEAAGRycy9lMm9Eb2MueG1sUEsFBgAAAAAGAAYAWQEA&#10;ALgFAAAAAA==&#10;">
                <v:fill on="t" focussize="0,0"/>
                <v:stroke on="f"/>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page">
                  <wp:posOffset>320675</wp:posOffset>
                </wp:positionH>
                <wp:positionV relativeFrom="page">
                  <wp:posOffset>3888105</wp:posOffset>
                </wp:positionV>
                <wp:extent cx="6479540" cy="1080135"/>
                <wp:effectExtent l="0" t="1905" r="635" b="3810"/>
                <wp:wrapNone/>
                <wp:docPr id="198279307" name="TextBox 100006"/>
                <wp:cNvGraphicFramePr/>
                <a:graphic xmlns:a="http://schemas.openxmlformats.org/drawingml/2006/main">
                  <a:graphicData uri="http://schemas.microsoft.com/office/word/2010/wordprocessingShape">
                    <wps:wsp>
                      <wps:cNvSpPr txBox="1">
                        <a:spLocks noChangeArrowheads="1"/>
                      </wps:cNvSpPr>
                      <wps:spPr bwMode="auto">
                        <a:xfrm>
                          <a:off x="0" y="0"/>
                          <a:ext cx="6479540" cy="1080135"/>
                        </a:xfrm>
                        <a:prstGeom prst="rect">
                          <a:avLst/>
                        </a:prstGeom>
                        <a:noFill/>
                        <a:ln>
                          <a:noFill/>
                        </a:ln>
                      </wps:spPr>
                      <wps:txb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就业对教育教学的反馈</w:t>
                            </w:r>
                          </w:p>
                        </w:txbxContent>
                      </wps:txbx>
                      <wps:bodyPr rot="0" vert="horz" wrap="square" lIns="91440" tIns="45720" rIns="91440" bIns="45720" anchor="t" anchorCtr="0" upright="1">
                        <a:noAutofit/>
                      </wps:bodyPr>
                    </wps:wsp>
                  </a:graphicData>
                </a:graphic>
              </wp:anchor>
            </w:drawing>
          </mc:Choice>
          <mc:Fallback>
            <w:pict>
              <v:shape id="TextBox 100006" o:spid="_x0000_s1026" o:spt="202" type="#_x0000_t202" style="position:absolute;left:0pt;margin-left:25.25pt;margin-top:306.15pt;height:85.05pt;width:510.2pt;mso-position-horizontal-relative:page;mso-position-vertical-relative:page;z-index:251687936;mso-width-relative:page;mso-height-relative:page;" filled="f" stroked="f" coordsize="21600,21600" o:gfxdata="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J6vMTYAAAACwEAAA8AAAAAAAAA&#10;AQAgAAAAIgAAAGRycy9kb3ducmV2LnhtbFBLAQIUABQAAAAIAIdO4kABwGGREQIAACEEAAAOAAAA&#10;AAAAAAEAIAAAACcBAABkcnMvZTJvRG9jLnhtbFBLBQYAAAAABgAGAFkBAACqBQAAAAA=&#10;">
                <v:fill on="f" focussize="0,0"/>
                <v:stroke on="f"/>
                <v:imagedata o:title=""/>
                <o:lock v:ext="edit" aspectratio="f"/>
                <v:textbox>
                  <w:txbxContent>
                    <w:p>
                      <w:pPr>
                        <w:spacing w:line="240" w:lineRule="auto"/>
                        <w:jc w:val="left"/>
                        <w:rPr>
                          <w:rFonts w:ascii="微软雅黑" w:hAnsi="微软雅黑" w:eastAsia="微软雅黑" w:cs="微软雅黑"/>
                          <w:b/>
                          <w:color w:val="FFFFFF"/>
                          <w:sz w:val="96"/>
                        </w:rPr>
                      </w:pPr>
                      <w:r>
                        <w:rPr>
                          <w:rFonts w:ascii="微软雅黑" w:hAnsi="微软雅黑" w:eastAsia="微软雅黑" w:cs="微软雅黑"/>
                          <w:b/>
                          <w:color w:val="FFFFFF"/>
                          <w:sz w:val="96"/>
                        </w:rPr>
                        <w:t>就业对教育教学的反馈</w:t>
                      </w:r>
                    </w:p>
                  </w:txbxContent>
                </v:textbox>
              </v:shape>
            </w:pict>
          </mc:Fallback>
        </mc:AlternateContent>
      </w:r>
      <w:r>
        <w:drawing>
          <wp:anchor distT="0" distB="0" distL="114300" distR="114300" simplePos="0" relativeHeight="251688960" behindDoc="1" locked="0" layoutInCell="1" allowOverlap="1">
            <wp:simplePos x="0" y="0"/>
            <wp:positionH relativeFrom="page">
              <wp:posOffset>0</wp:posOffset>
            </wp:positionH>
            <wp:positionV relativeFrom="page">
              <wp:posOffset>0</wp:posOffset>
            </wp:positionV>
            <wp:extent cx="7560310" cy="10692130"/>
            <wp:effectExtent l="0" t="0" r="0" b="0"/>
            <wp:wrapNone/>
            <wp:docPr id="18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60310" cy="10692130"/>
                    </a:xfrm>
                    <a:prstGeom prst="rect">
                      <a:avLst/>
                    </a:prstGeom>
                    <a:noFill/>
                  </pic:spPr>
                </pic:pic>
              </a:graphicData>
            </a:graphic>
          </wp:anchor>
        </w:drawing>
      </w:r>
    </w:p>
    <w:p>
      <w:pPr>
        <w:pStyle w:val="158"/>
        <w:numPr>
          <w:ilvl w:val="1"/>
          <w:numId w:val="12"/>
        </w:numPr>
        <w:ind w:left="0" w:firstLine="0"/>
        <w:jc w:val="center"/>
        <w:rPr>
          <w:rFonts w:cs="宋体"/>
          <w:color w:val="006699"/>
        </w:rPr>
      </w:pPr>
      <w:bookmarkStart w:id="83" w:name="_Toc153811537"/>
      <w:bookmarkStart w:id="84" w:name="_Toc153811599"/>
      <w:r>
        <w:rPr>
          <w:rFonts w:cs="宋体"/>
          <w:color w:val="006699"/>
        </w:rPr>
        <w:t>就业对教育教学的反馈</w:t>
      </w:r>
      <w:bookmarkEnd w:id="83"/>
      <w:bookmarkEnd w:id="84"/>
    </w:p>
    <w:p>
      <w:pPr>
        <w:pStyle w:val="164"/>
        <w:spacing w:line="360" w:lineRule="auto"/>
        <w:ind w:firstLine="420"/>
        <w:jc w:val="both"/>
        <w:rPr>
          <w:rFonts w:cs="宋体"/>
          <w:color w:val="000000"/>
          <w:lang w:val="en-US" w:eastAsia="zh-CN" w:bidi="ar-SA"/>
        </w:rPr>
      </w:pPr>
      <w:r>
        <w:rPr>
          <w:rFonts w:cs="宋体"/>
          <w:b/>
          <w:color w:val="006699"/>
          <w:sz w:val="44"/>
        </w:rPr>
        <w:drawing>
          <wp:anchor distT="0" distB="0" distL="114300" distR="114300" simplePos="0" relativeHeight="251689984" behindDoc="1" locked="0" layoutInCell="1" allowOverlap="1">
            <wp:simplePos x="0" y="0"/>
            <wp:positionH relativeFrom="margin">
              <wp:posOffset>179705</wp:posOffset>
            </wp:positionH>
            <wp:positionV relativeFrom="margin">
              <wp:posOffset>-179705</wp:posOffset>
            </wp:positionV>
            <wp:extent cx="590550" cy="619125"/>
            <wp:effectExtent l="0" t="0" r="0" b="0"/>
            <wp:wrapNone/>
            <wp:docPr id="1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0550" cy="619125"/>
                    </a:xfrm>
                    <a:prstGeom prst="rect">
                      <a:avLst/>
                    </a:prstGeom>
                    <a:noFill/>
                  </pic:spPr>
                </pic:pic>
              </a:graphicData>
            </a:graphic>
          </wp:anchor>
        </w:drawing>
      </w:r>
      <w:r>
        <w:rPr>
          <w:rFonts w:cs="宋体"/>
          <w:color w:val="000000"/>
          <w:lang w:val="en-US" w:eastAsia="zh-CN" w:bidi="ar-SA"/>
        </w:rPr>
        <w:t>本章主要分析毕业生对学校人才培养的反馈，包含毕业生对学校的满意度、对教学的满意度、通用能力培养情况评价，服务学校招生和专业结构调整，改进人才培养模式，提高人才培养和社会需求的契合度。</w:t>
      </w:r>
    </w:p>
    <w:p>
      <w:pPr>
        <w:pStyle w:val="164"/>
        <w:keepNext/>
        <w:spacing w:line="360" w:lineRule="auto"/>
        <w:ind w:firstLine="420"/>
        <w:jc w:val="both"/>
        <w:rPr>
          <w:rFonts w:cs="宋体"/>
          <w:color w:val="000000"/>
          <w:lang w:val="zh-CN"/>
        </w:rPr>
      </w:pPr>
      <w:r>
        <w:rPr>
          <w:rFonts w:hint="eastAsia" w:cs="宋体"/>
          <w:color w:val="000000"/>
        </w:rPr>
        <w:t>数据来源于麦可思</w:t>
      </w:r>
      <w:r>
        <w:rPr>
          <w:rFonts w:cs="宋体"/>
          <w:color w:val="000000"/>
        </w:rPr>
        <w:t>-</w:t>
      </w:r>
      <w:r>
        <w:rPr>
          <w:rFonts w:hint="eastAsia" w:cs="宋体"/>
          <w:color w:val="000000"/>
        </w:rPr>
        <w:t>天津中医药大学</w:t>
      </w:r>
      <w:r>
        <w:rPr>
          <w:rFonts w:cs="宋体"/>
          <w:color w:val="000000"/>
        </w:rPr>
        <w:t>2023</w:t>
      </w:r>
      <w:r>
        <w:rPr>
          <w:rFonts w:hint="eastAsia" w:cs="宋体"/>
          <w:color w:val="000000"/>
        </w:rPr>
        <w:t>届本科毕业生培养质量评价数据。调查面向全校</w:t>
      </w:r>
      <w:r>
        <w:rPr>
          <w:rFonts w:cs="宋体"/>
          <w:color w:val="000000"/>
        </w:rPr>
        <w:t>2023</w:t>
      </w:r>
      <w:r>
        <w:rPr>
          <w:rFonts w:hint="eastAsia" w:cs="宋体"/>
          <w:color w:val="000000"/>
        </w:rPr>
        <w:t>届本科毕业生</w:t>
      </w:r>
      <w:r>
        <w:rPr>
          <w:rFonts w:hint="eastAsia" w:cs="宋体"/>
          <w:color w:val="000000"/>
          <w:szCs w:val="60"/>
        </w:rPr>
        <w:t>，截至</w:t>
      </w:r>
      <w:r>
        <w:rPr>
          <w:rFonts w:cs="宋体"/>
          <w:color w:val="000000"/>
          <w:szCs w:val="60"/>
        </w:rPr>
        <w:t>2023</w:t>
      </w:r>
      <w:r>
        <w:rPr>
          <w:rFonts w:hint="eastAsia" w:cs="宋体"/>
          <w:color w:val="000000"/>
          <w:szCs w:val="60"/>
        </w:rPr>
        <w:t>年</w:t>
      </w:r>
      <w:r>
        <w:rPr>
          <w:rFonts w:cs="宋体"/>
          <w:color w:val="000000"/>
          <w:szCs w:val="60"/>
        </w:rPr>
        <w:t>12</w:t>
      </w:r>
      <w:r>
        <w:rPr>
          <w:rFonts w:hint="eastAsia" w:cs="宋体"/>
          <w:color w:val="000000"/>
          <w:szCs w:val="60"/>
        </w:rPr>
        <w:t>月</w:t>
      </w:r>
      <w:r>
        <w:rPr>
          <w:rFonts w:cs="宋体"/>
          <w:color w:val="000000"/>
          <w:szCs w:val="60"/>
        </w:rPr>
        <w:t>1</w:t>
      </w:r>
      <w:r>
        <w:rPr>
          <w:rFonts w:hint="eastAsia" w:cs="宋体"/>
          <w:color w:val="000000"/>
          <w:szCs w:val="60"/>
        </w:rPr>
        <w:t>日，共回收有效问卷</w:t>
      </w:r>
      <w:r>
        <w:rPr>
          <w:rFonts w:cs="宋体"/>
          <w:color w:val="000000"/>
          <w:szCs w:val="60"/>
        </w:rPr>
        <w:t>1533</w:t>
      </w:r>
      <w:r>
        <w:rPr>
          <w:rFonts w:hint="eastAsia" w:cs="宋体"/>
          <w:color w:val="000000"/>
          <w:szCs w:val="60"/>
        </w:rPr>
        <w:t>份，回收问卷数量占毕业生总人数的</w:t>
      </w:r>
      <w:r>
        <w:rPr>
          <w:color w:val="000000"/>
          <w:szCs w:val="21"/>
        </w:rPr>
        <w:t>59.2%</w:t>
      </w:r>
      <w:r>
        <w:rPr>
          <w:rFonts w:hint="eastAsia" w:cs="宋体"/>
          <w:color w:val="000000"/>
          <w:szCs w:val="60"/>
        </w:rPr>
        <w:t>，</w:t>
      </w:r>
      <w:r>
        <w:rPr>
          <w:rFonts w:hint="eastAsia" w:cs="宋体"/>
          <w:color w:val="000000"/>
        </w:rPr>
        <w:t>由于调研口径、调研参与率等因素，与学校初次毕业去向落实率截点的统计有一定的差异。</w:t>
      </w:r>
    </w:p>
    <w:p>
      <w:pPr>
        <w:pStyle w:val="159"/>
        <w:keepNext w:val="0"/>
        <w:widowControl/>
        <w:numPr>
          <w:ilvl w:val="2"/>
          <w:numId w:val="12"/>
        </w:numPr>
        <w:spacing w:before="120" w:after="120"/>
        <w:ind w:left="0"/>
        <w:rPr>
          <w:rFonts w:cs="宋体"/>
          <w:color w:val="006699"/>
        </w:rPr>
      </w:pPr>
      <w:bookmarkStart w:id="85" w:name="_Toc153811538"/>
      <w:r>
        <w:rPr>
          <w:rFonts w:cs="宋体"/>
          <w:color w:val="006699"/>
        </w:rPr>
        <w:drawing>
          <wp:anchor distT="0" distB="0" distL="114300" distR="114300" simplePos="0" relativeHeight="251691008" behindDoc="1" locked="0" layoutInCell="1" allowOverlap="1">
            <wp:simplePos x="0" y="0"/>
            <wp:positionH relativeFrom="column">
              <wp:posOffset>967740</wp:posOffset>
            </wp:positionH>
            <wp:positionV relativeFrom="paragraph">
              <wp:posOffset>36195</wp:posOffset>
            </wp:positionV>
            <wp:extent cx="471805" cy="334645"/>
            <wp:effectExtent l="0" t="0" r="0" b="0"/>
            <wp:wrapNone/>
            <wp:docPr id="18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对人才培养的反馈</w:t>
      </w:r>
      <w:bookmarkEnd w:id="85"/>
    </w:p>
    <w:p>
      <w:pPr>
        <w:pStyle w:val="160"/>
        <w:numPr>
          <w:numId w:val="0"/>
        </w:numPr>
        <w:spacing w:before="120" w:after="120"/>
        <w:ind w:leftChars="0"/>
        <w:rPr>
          <w:rFonts w:hint="eastAsia" w:eastAsia="宋体" w:cs="宋体"/>
          <w:color w:val="000000"/>
          <w:sz w:val="18"/>
          <w:lang w:eastAsia="zh-CN"/>
        </w:rPr>
      </w:pPr>
      <w:r>
        <w:rPr>
          <w:rFonts w:hint="eastAsia" w:cs="宋体"/>
          <w:color w:val="006699"/>
          <w:lang w:val="en-US" w:eastAsia="zh-CN"/>
        </w:rPr>
        <w:t>（一）校友满意度</w:t>
      </w:r>
      <w:r>
        <w:rPr>
          <w:rFonts w:cs="宋体"/>
          <w:color w:val="006699"/>
        </w:rPr>
        <w:t>评价</w:t>
      </w:r>
    </w:p>
    <w:p>
      <w:pPr>
        <w:pStyle w:val="164"/>
        <w:keepNext/>
        <w:spacing w:line="360" w:lineRule="auto"/>
        <w:ind w:firstLine="420"/>
        <w:jc w:val="both"/>
        <w:rPr>
          <w:rFonts w:cs="宋体"/>
          <w:color w:val="000000"/>
          <w:lang w:val="en-US" w:eastAsia="zh-CN" w:bidi="ar-SA"/>
        </w:rPr>
      </w:pPr>
      <w:r>
        <w:rPr>
          <w:rFonts w:hint="eastAsia" w:cs="宋体"/>
          <w:b/>
          <w:bCs/>
          <w:color w:val="000000"/>
          <w:lang w:val="en-US" w:eastAsia="zh-CN" w:bidi="ar-SA"/>
        </w:rPr>
        <w:t>九</w:t>
      </w:r>
      <w:r>
        <w:rPr>
          <w:rFonts w:cs="宋体"/>
          <w:b/>
          <w:bCs/>
          <w:color w:val="000000"/>
          <w:lang w:val="en-US" w:eastAsia="zh-CN" w:bidi="ar-SA"/>
        </w:rPr>
        <w:t>成</w:t>
      </w:r>
      <w:r>
        <w:rPr>
          <w:rFonts w:hint="eastAsia" w:cs="宋体"/>
          <w:b/>
          <w:bCs/>
          <w:color w:val="000000"/>
          <w:lang w:val="en-US" w:eastAsia="zh-CN" w:bidi="ar-SA"/>
        </w:rPr>
        <w:t>以上</w:t>
      </w:r>
      <w:r>
        <w:rPr>
          <w:rFonts w:cs="宋体"/>
          <w:b/>
          <w:bCs/>
          <w:color w:val="000000"/>
          <w:lang w:val="en-US" w:eastAsia="zh-CN" w:bidi="ar-SA"/>
        </w:rPr>
        <w:t>毕业生对母校整体满意。</w:t>
      </w: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毕业生对母校的总体满意度为95%，毕业生对母校的整体满意度评价较高。</w:t>
      </w:r>
    </w:p>
    <w:p>
      <w:pPr>
        <w:jc w:val="center"/>
        <w:rPr>
          <w:rFonts w:cs="宋体"/>
          <w:color w:val="000000"/>
        </w:rPr>
      </w:pPr>
      <w:r>
        <w:drawing>
          <wp:inline distT="0" distB="0" distL="0" distR="0">
            <wp:extent cx="5219700" cy="2514600"/>
            <wp:effectExtent l="0" t="0" r="0"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86" w:name="_Toc153811601"/>
      <w:r>
        <w:rPr>
          <w:rFonts w:cs="宋体"/>
          <w:color w:val="000000"/>
        </w:rPr>
        <w:t>毕业生对母校的满意度</w:t>
      </w:r>
      <w:bookmarkEnd w:id="86"/>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6"/>
          <w:szCs w:val="6"/>
        </w:rPr>
      </w:pPr>
    </w:p>
    <w:p>
      <w:pPr>
        <w:pStyle w:val="160"/>
        <w:numPr>
          <w:ilvl w:val="3"/>
          <w:numId w:val="12"/>
        </w:numPr>
        <w:spacing w:before="120" w:after="120"/>
        <w:rPr>
          <w:rFonts w:cs="宋体"/>
          <w:color w:val="006699"/>
        </w:rPr>
      </w:pPr>
      <w:bookmarkStart w:id="87" w:name="_Toc153811540"/>
      <w:r>
        <w:rPr>
          <w:rFonts w:cs="宋体"/>
          <w:color w:val="006699"/>
        </w:rPr>
        <w:t>教育教学评价</w:t>
      </w:r>
      <w:bookmarkEnd w:id="87"/>
    </w:p>
    <w:p>
      <w:pPr>
        <w:pStyle w:val="164"/>
        <w:keepNext/>
        <w:spacing w:line="360" w:lineRule="auto"/>
        <w:ind w:firstLine="420"/>
        <w:jc w:val="both"/>
        <w:rPr>
          <w:rFonts w:cs="宋体"/>
          <w:color w:val="000000"/>
          <w:lang w:val="en-US" w:eastAsia="zh-CN" w:bidi="ar-SA"/>
        </w:rPr>
      </w:pPr>
      <w:r>
        <w:rPr>
          <w:rFonts w:cs="宋体"/>
          <w:b/>
          <w:bCs/>
          <w:color w:val="000000"/>
          <w:lang w:val="en-US" w:eastAsia="zh-CN" w:bidi="ar-SA"/>
        </w:rPr>
        <w:t>毕业生</w:t>
      </w:r>
      <w:r>
        <w:rPr>
          <w:rFonts w:hint="eastAsia" w:cs="宋体"/>
          <w:b/>
          <w:bCs/>
          <w:color w:val="000000"/>
          <w:lang w:val="en-US" w:eastAsia="zh-CN" w:bidi="ar-SA"/>
        </w:rPr>
        <w:t>对</w:t>
      </w:r>
      <w:r>
        <w:rPr>
          <w:rFonts w:cs="宋体"/>
          <w:b/>
          <w:bCs/>
          <w:color w:val="000000"/>
          <w:lang w:val="en-US" w:eastAsia="zh-CN" w:bidi="ar-SA"/>
        </w:rPr>
        <w:t>母校教学工作</w:t>
      </w:r>
      <w:r>
        <w:rPr>
          <w:rFonts w:hint="eastAsia" w:cs="宋体"/>
          <w:b/>
          <w:bCs/>
          <w:color w:val="000000"/>
          <w:lang w:val="en-US" w:eastAsia="zh-CN" w:bidi="ar-SA"/>
        </w:rPr>
        <w:t>高度认可</w:t>
      </w:r>
      <w:r>
        <w:rPr>
          <w:rFonts w:cs="宋体"/>
          <w:b/>
          <w:bCs/>
          <w:color w:val="000000"/>
          <w:lang w:val="en-US" w:eastAsia="zh-CN" w:bidi="ar-SA"/>
        </w:rPr>
        <w:t>。</w:t>
      </w: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毕业生对母校的教学满意度为96%。毕业生对母校的教学工作给予较高评价，体现出我校良好的教学培养效果。</w:t>
      </w:r>
    </w:p>
    <w:p>
      <w:pPr>
        <w:jc w:val="center"/>
        <w:rPr>
          <w:rFonts w:cs="宋体"/>
          <w:color w:val="000000"/>
        </w:rPr>
      </w:pPr>
      <w:r>
        <w:drawing>
          <wp:inline distT="0" distB="0" distL="0" distR="0">
            <wp:extent cx="5219700" cy="2514600"/>
            <wp:effectExtent l="0" t="0" r="0"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19700" cy="25146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88" w:name="_Toc153811602"/>
      <w:r>
        <w:rPr>
          <w:rFonts w:cs="宋体"/>
          <w:color w:val="000000"/>
        </w:rPr>
        <w:t>毕业生对母校的教学满意度</w:t>
      </w:r>
      <w:bookmarkEnd w:id="88"/>
    </w:p>
    <w:p>
      <w:pPr>
        <w:pStyle w:val="165"/>
        <w:spacing w:line="360" w:lineRule="auto"/>
        <w:rPr>
          <w:rFonts w:cs="宋体"/>
          <w:color w:val="000000"/>
        </w:rPr>
      </w:pPr>
      <w:r>
        <w:rPr>
          <w:rFonts w:cs="宋体"/>
          <w:color w:val="000000"/>
        </w:rPr>
        <w:t>数据来源：麦可思-天津中医药大学2023届毕业生培养质量评价数据。</w:t>
      </w:r>
    </w:p>
    <w:p>
      <w:pPr>
        <w:pStyle w:val="160"/>
        <w:widowControl/>
        <w:numPr>
          <w:ilvl w:val="3"/>
          <w:numId w:val="12"/>
        </w:numPr>
        <w:spacing w:before="120" w:after="120"/>
        <w:rPr>
          <w:rFonts w:cs="宋体"/>
          <w:color w:val="006699"/>
        </w:rPr>
      </w:pPr>
      <w:bookmarkStart w:id="89" w:name="_Toc153811541"/>
      <w:r>
        <w:rPr>
          <w:rFonts w:cs="宋体"/>
          <w:color w:val="006699"/>
        </w:rPr>
        <w:t>能力培养评价</w:t>
      </w:r>
      <w:bookmarkEnd w:id="89"/>
    </w:p>
    <w:p>
      <w:pPr>
        <w:pStyle w:val="161"/>
        <w:numPr>
          <w:ilvl w:val="4"/>
          <w:numId w:val="12"/>
        </w:numPr>
        <w:spacing w:line="320" w:lineRule="auto"/>
        <w:outlineLvl w:val="9"/>
        <w:rPr>
          <w:rFonts w:cs="宋体"/>
          <w:color w:val="006699"/>
        </w:rPr>
      </w:pPr>
      <w:r>
        <w:rPr>
          <w:rFonts w:cs="宋体"/>
          <w:color w:val="006699"/>
        </w:rPr>
        <w:t>医学专业能力</w:t>
      </w:r>
    </w:p>
    <w:p>
      <w:pPr>
        <w:ind w:firstLine="420"/>
      </w:pPr>
      <w:r>
        <w:rPr>
          <w:rFonts w:hint="eastAsia"/>
        </w:rPr>
        <w:t>国家培养卫生人才是为了适应现代医学模式的转变和现代医疗发展的需要，使相应人员的能力满足所在岗位的要求完成本职工作。而不同类型的医学类专业——中医类、护理学类、其他医学类（如康复治疗学、中西医临床医学（五年制）专业）专业在实际工作中所需要的专业能力也会有所差异。</w:t>
      </w:r>
    </w:p>
    <w:p>
      <w:pPr>
        <w:pStyle w:val="161"/>
        <w:numPr>
          <w:ilvl w:val="5"/>
          <w:numId w:val="12"/>
        </w:numPr>
        <w:spacing w:line="320" w:lineRule="auto"/>
        <w:outlineLvl w:val="9"/>
        <w:rPr>
          <w:rFonts w:cs="宋体"/>
          <w:color w:val="006699"/>
        </w:rPr>
      </w:pPr>
      <w:r>
        <w:rPr>
          <w:rFonts w:hint="eastAsia"/>
          <w:color w:val="006699"/>
        </w:rPr>
        <w:t>中医类各项能力重要度及达成度</w:t>
      </w:r>
    </w:p>
    <w:p>
      <w:pPr>
        <w:pStyle w:val="164"/>
        <w:keepNext/>
        <w:spacing w:line="360" w:lineRule="auto"/>
        <w:ind w:firstLine="420"/>
        <w:jc w:val="both"/>
        <w:rPr>
          <w:rFonts w:cs="宋体"/>
          <w:color w:val="000000"/>
          <w:lang w:val="en-US" w:eastAsia="zh-CN" w:bidi="ar-SA"/>
        </w:rPr>
      </w:pPr>
      <w:r>
        <w:rPr>
          <w:rFonts w:hint="eastAsia" w:cs="宋体"/>
          <w:color w:val="000000"/>
          <w:lang w:val="en-US" w:eastAsia="zh-CN" w:bidi="ar-SA"/>
        </w:rPr>
        <w:t>我校2023届本科中医类专业毕业生认为重要度较高的能力是典籍</w:t>
      </w:r>
      <w:r>
        <w:rPr>
          <w:rFonts w:hint="eastAsia" w:cs="宋体"/>
          <w:color w:val="000000"/>
          <w:lang w:val="en-US" w:bidi="ar-SA"/>
        </w:rPr>
        <w:t>/</w:t>
      </w:r>
      <w:r>
        <w:rPr>
          <w:rFonts w:hint="eastAsia" w:cs="宋体"/>
          <w:color w:val="000000"/>
          <w:lang w:val="en-US" w:eastAsia="zh-CN" w:bidi="ar-SA"/>
        </w:rPr>
        <w:t>文献阅读（76%）、临床诊断和治疗（74%）、沟通合作（72%），其达成度分别为76%、80%、85%</w:t>
      </w:r>
      <w:r>
        <w:rPr>
          <w:rFonts w:cs="宋体"/>
          <w:color w:val="000000"/>
          <w:lang w:val="en-US" w:eastAsia="zh-CN" w:bidi="ar-SA"/>
        </w:rPr>
        <w:t>。</w:t>
      </w:r>
    </w:p>
    <w:p>
      <w:pPr>
        <w:jc w:val="center"/>
        <w:rPr>
          <w:rFonts w:cs="宋体"/>
          <w:color w:val="000000"/>
        </w:rPr>
      </w:pPr>
      <w:r>
        <w:drawing>
          <wp:inline distT="0" distB="0" distL="0" distR="0">
            <wp:extent cx="5219700" cy="3771900"/>
            <wp:effectExtent l="0" t="0" r="0" b="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19700" cy="37719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90" w:name="_Toc153811604"/>
      <w:r>
        <w:rPr>
          <w:rFonts w:cs="宋体"/>
          <w:color w:val="000000"/>
        </w:rPr>
        <w:t>中医类各项能力重要度及达成度</w:t>
      </w:r>
      <w:bookmarkEnd w:id="90"/>
    </w:p>
    <w:p>
      <w:pPr>
        <w:pStyle w:val="165"/>
        <w:spacing w:line="360" w:lineRule="auto"/>
        <w:rPr>
          <w:rFonts w:cs="宋体"/>
          <w:color w:val="000000"/>
        </w:rPr>
      </w:pPr>
      <w:r>
        <w:rPr>
          <w:rFonts w:cs="宋体"/>
          <w:color w:val="000000"/>
        </w:rPr>
        <w:t>数据来源：麦可思-天津中医药大学2023届毕业生培养质量评价数据。</w:t>
      </w:r>
    </w:p>
    <w:p>
      <w:pPr>
        <w:rPr>
          <w:rFonts w:hint="eastAsia"/>
        </w:rPr>
      </w:pPr>
    </w:p>
    <w:p>
      <w:pPr>
        <w:pStyle w:val="161"/>
        <w:numPr>
          <w:ilvl w:val="5"/>
          <w:numId w:val="12"/>
        </w:numPr>
        <w:spacing w:line="320" w:lineRule="auto"/>
        <w:outlineLvl w:val="9"/>
        <w:rPr>
          <w:color w:val="006699"/>
        </w:rPr>
        <w:sectPr>
          <w:footnotePr>
            <w:numRestart w:val="eachPage"/>
          </w:footnotePr>
          <w:pgSz w:w="11906" w:h="16838"/>
          <w:pgMar w:top="1984" w:right="1531" w:bottom="1701" w:left="1701" w:header="992" w:footer="850" w:gutter="0"/>
          <w:cols w:space="708" w:num="1"/>
          <w:docGrid w:linePitch="360" w:charSpace="0"/>
        </w:sectPr>
      </w:pPr>
    </w:p>
    <w:p>
      <w:pPr>
        <w:pStyle w:val="161"/>
        <w:numPr>
          <w:ilvl w:val="5"/>
          <w:numId w:val="12"/>
        </w:numPr>
        <w:spacing w:line="320" w:lineRule="auto"/>
        <w:outlineLvl w:val="9"/>
        <w:rPr>
          <w:rFonts w:hint="eastAsia" w:cs="宋体"/>
          <w:color w:val="006699"/>
        </w:rPr>
      </w:pPr>
      <w:r>
        <w:rPr>
          <w:rFonts w:hint="eastAsia"/>
          <w:color w:val="006699"/>
        </w:rPr>
        <w:t>护理学类各项能力重要度及达成度</w:t>
      </w:r>
    </w:p>
    <w:p>
      <w:pPr>
        <w:pStyle w:val="164"/>
        <w:keepNext/>
        <w:spacing w:line="360" w:lineRule="auto"/>
        <w:ind w:firstLine="420"/>
        <w:jc w:val="both"/>
        <w:rPr>
          <w:rFonts w:cs="宋体"/>
          <w:color w:val="000000"/>
          <w:lang w:val="en-US" w:eastAsia="zh-CN" w:bidi="ar-SA"/>
        </w:rPr>
      </w:pPr>
      <w:r>
        <w:rPr>
          <w:rFonts w:hint="eastAsia" w:cs="宋体"/>
          <w:color w:val="000000"/>
          <w:lang w:val="en-US" w:eastAsia="zh-CN" w:bidi="ar-SA"/>
        </w:rPr>
        <w:t>我校2023届本科护理学类专业毕业生认为重要度较高的能力是自主学习和发展（74%）、沟通合作（73%）、护理技术（72%），其达成度分别为86%、86%、81%</w:t>
      </w:r>
      <w:r>
        <w:rPr>
          <w:rFonts w:cs="宋体"/>
          <w:color w:val="000000"/>
          <w:lang w:val="en-US" w:eastAsia="zh-CN" w:bidi="ar-SA"/>
        </w:rPr>
        <w:t>。</w:t>
      </w:r>
    </w:p>
    <w:p>
      <w:pPr>
        <w:jc w:val="center"/>
        <w:rPr>
          <w:rFonts w:cs="宋体"/>
          <w:color w:val="000000"/>
        </w:rPr>
      </w:pPr>
      <w:r>
        <w:drawing>
          <wp:inline distT="0" distB="0" distL="0" distR="0">
            <wp:extent cx="5219700" cy="4095750"/>
            <wp:effectExtent l="0" t="0" r="0" b="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19700" cy="409575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91" w:name="_Toc153811605"/>
      <w:r>
        <w:rPr>
          <w:rFonts w:cs="宋体"/>
          <w:color w:val="000000"/>
        </w:rPr>
        <w:t>护理学类各项能力重要度及达成度</w:t>
      </w:r>
      <w:bookmarkEnd w:id="91"/>
    </w:p>
    <w:p>
      <w:pPr>
        <w:pStyle w:val="165"/>
        <w:spacing w:line="360" w:lineRule="auto"/>
        <w:rPr>
          <w:rFonts w:cs="宋体"/>
          <w:color w:val="000000"/>
        </w:rPr>
      </w:pPr>
      <w:r>
        <w:rPr>
          <w:rFonts w:cs="宋体"/>
          <w:color w:val="000000"/>
        </w:rPr>
        <w:t>数据来源：麦可思-天津中医药大学2023届毕业生培养质量评价数据。</w:t>
      </w:r>
    </w:p>
    <w:p>
      <w:pPr>
        <w:rPr>
          <w:rFonts w:cs="宋体"/>
          <w:color w:val="000000"/>
          <w:sz w:val="18"/>
        </w:rPr>
      </w:pPr>
    </w:p>
    <w:p>
      <w:pPr>
        <w:rPr>
          <w:rFonts w:cs="宋体"/>
          <w:color w:val="000000"/>
          <w:sz w:val="18"/>
        </w:rPr>
      </w:pPr>
    </w:p>
    <w:p>
      <w:pPr>
        <w:pStyle w:val="161"/>
        <w:numPr>
          <w:ilvl w:val="5"/>
          <w:numId w:val="12"/>
        </w:numPr>
        <w:spacing w:line="320" w:lineRule="auto"/>
        <w:outlineLvl w:val="9"/>
        <w:rPr>
          <w:rFonts w:cs="宋体"/>
          <w:color w:val="006699"/>
        </w:rPr>
      </w:pPr>
      <w:r>
        <w:rPr>
          <w:rFonts w:hint="eastAsia"/>
          <w:color w:val="006699"/>
        </w:rPr>
        <w:t>其他医学类各项能力重要度及达成度</w:t>
      </w:r>
    </w:p>
    <w:p>
      <w:pPr>
        <w:pStyle w:val="164"/>
        <w:keepNext/>
        <w:spacing w:line="360" w:lineRule="auto"/>
        <w:ind w:firstLine="420"/>
        <w:jc w:val="both"/>
        <w:rPr>
          <w:rFonts w:cs="宋体"/>
          <w:color w:val="000000"/>
          <w:lang w:val="en-US" w:eastAsia="zh-CN" w:bidi="ar-SA"/>
        </w:rPr>
      </w:pPr>
      <w:r>
        <w:rPr>
          <w:rFonts w:hint="eastAsia" w:cs="宋体"/>
          <w:color w:val="000000"/>
          <w:lang w:val="en-US" w:eastAsia="zh-CN" w:bidi="ar-SA"/>
        </w:rPr>
        <w:t>我校2023届本科其他医学类专业毕业生认为重要度较高的能力是沟通表达（78%）、自主学习和发展（76%）、信息收集（76%），其达成度分别为81%、83%、77%</w:t>
      </w:r>
      <w:r>
        <w:rPr>
          <w:rFonts w:cs="宋体"/>
          <w:color w:val="000000"/>
          <w:lang w:val="en-US" w:eastAsia="zh-CN" w:bidi="ar-SA"/>
        </w:rPr>
        <w:t>。</w:t>
      </w:r>
    </w:p>
    <w:p>
      <w:pPr>
        <w:jc w:val="center"/>
        <w:rPr>
          <w:rFonts w:cs="宋体"/>
          <w:color w:val="000000"/>
        </w:rPr>
      </w:pPr>
      <w:r>
        <w:drawing>
          <wp:inline distT="0" distB="0" distL="0" distR="0">
            <wp:extent cx="5219700" cy="3771900"/>
            <wp:effectExtent l="0" t="0" r="0" b="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19700" cy="37719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92" w:name="_Toc153811606"/>
      <w:r>
        <w:rPr>
          <w:rFonts w:cs="宋体"/>
          <w:color w:val="000000"/>
        </w:rPr>
        <w:t>其他医学类各项能力重要度及达成度</w:t>
      </w:r>
      <w:bookmarkEnd w:id="92"/>
    </w:p>
    <w:p>
      <w:pPr>
        <w:pStyle w:val="165"/>
        <w:spacing w:line="360" w:lineRule="auto"/>
        <w:rPr>
          <w:rFonts w:cs="宋体"/>
          <w:color w:val="000000"/>
        </w:rPr>
      </w:pPr>
      <w:r>
        <w:rPr>
          <w:rFonts w:cs="宋体"/>
          <w:color w:val="000000"/>
        </w:rPr>
        <w:t>注：其他医学类专业指除中医类、护理学类外的医学类专业。</w:t>
      </w:r>
    </w:p>
    <w:p>
      <w:pPr>
        <w:pStyle w:val="165"/>
        <w:spacing w:line="360" w:lineRule="auto"/>
        <w:rPr>
          <w:rFonts w:hint="eastAsia" w:cs="宋体"/>
          <w:color w:val="000000"/>
        </w:rPr>
      </w:pPr>
    </w:p>
    <w:p>
      <w:pPr>
        <w:pStyle w:val="161"/>
        <w:numPr>
          <w:ilvl w:val="4"/>
          <w:numId w:val="12"/>
        </w:numPr>
        <w:spacing w:line="320" w:lineRule="auto"/>
        <w:outlineLvl w:val="9"/>
        <w:rPr>
          <w:rFonts w:cs="宋体"/>
          <w:color w:val="006699"/>
        </w:rPr>
        <w:sectPr>
          <w:footnotePr>
            <w:numRestart w:val="eachPage"/>
          </w:footnotePr>
          <w:pgSz w:w="11906" w:h="16838"/>
          <w:pgMar w:top="1984" w:right="1531" w:bottom="1701" w:left="1701" w:header="992" w:footer="850" w:gutter="0"/>
          <w:cols w:space="708" w:num="1"/>
          <w:docGrid w:linePitch="360" w:charSpace="0"/>
        </w:sectPr>
      </w:pPr>
    </w:p>
    <w:p>
      <w:pPr>
        <w:pStyle w:val="161"/>
        <w:numPr>
          <w:ilvl w:val="4"/>
          <w:numId w:val="12"/>
        </w:numPr>
        <w:spacing w:line="320" w:lineRule="auto"/>
        <w:outlineLvl w:val="9"/>
        <w:rPr>
          <w:rFonts w:cs="宋体"/>
          <w:color w:val="006699"/>
        </w:rPr>
      </w:pPr>
      <w:r>
        <w:rPr>
          <w:rFonts w:hint="eastAsia" w:cs="宋体"/>
          <w:color w:val="006699"/>
        </w:rPr>
        <w:t>非医学</w:t>
      </w:r>
      <w:r>
        <w:rPr>
          <w:rFonts w:cs="宋体"/>
          <w:color w:val="006699"/>
        </w:rPr>
        <w:t>通用能力培养</w:t>
      </w:r>
    </w:p>
    <w:p>
      <w:pPr>
        <w:pStyle w:val="164"/>
        <w:keepNext/>
        <w:spacing w:line="360" w:lineRule="auto"/>
        <w:ind w:firstLine="420"/>
        <w:jc w:val="both"/>
        <w:rPr>
          <w:rFonts w:cs="宋体"/>
          <w:color w:val="000000"/>
          <w:lang w:val="en-US" w:eastAsia="zh-CN" w:bidi="ar-SA"/>
        </w:rPr>
      </w:pPr>
      <w:r>
        <w:rPr>
          <w:rFonts w:hint="eastAsia" w:cs="宋体"/>
          <w:color w:val="000000"/>
          <w:lang w:val="en-US" w:eastAsia="zh-CN" w:bidi="ar-SA"/>
        </w:rPr>
        <w:t>非医学类专业也需考量毕业生所需能力以及能力的增值情况，我校非医学类专业包括制药工程、健康服务与管理、劳动与社会保障、公共事业管理、市场营销、应用心理学、传播学、汉语国际教育、汉语言、食品卫生与营养学、医学信息工程、社会体育指导与管理等专业。</w:t>
      </w:r>
    </w:p>
    <w:p>
      <w:pPr>
        <w:pStyle w:val="161"/>
        <w:numPr>
          <w:ilvl w:val="5"/>
          <w:numId w:val="12"/>
        </w:numPr>
        <w:spacing w:line="320" w:lineRule="auto"/>
        <w:outlineLvl w:val="9"/>
        <w:rPr>
          <w:rFonts w:cs="宋体"/>
          <w:color w:val="006699"/>
        </w:rPr>
      </w:pPr>
      <w:r>
        <w:rPr>
          <w:rFonts w:hint="eastAsia" w:cs="宋体"/>
          <w:color w:val="006699"/>
        </w:rPr>
        <w:t>非医学类专业毕业生</w:t>
      </w:r>
      <w:r>
        <w:rPr>
          <w:rFonts w:cs="宋体"/>
          <w:color w:val="006699"/>
        </w:rPr>
        <w:t>工作中最重要的通用能力及增值情况</w:t>
      </w:r>
      <w:r>
        <w:rPr>
          <w:rStyle w:val="99"/>
          <w:rFonts w:cs="宋体"/>
          <w:color w:val="006699"/>
        </w:rPr>
        <w:footnoteReference w:id="0"/>
      </w:r>
    </w:p>
    <w:p>
      <w:pPr>
        <w:pStyle w:val="164"/>
        <w:keepNext/>
        <w:spacing w:line="360" w:lineRule="auto"/>
        <w:ind w:firstLine="420"/>
        <w:jc w:val="both"/>
        <w:rPr>
          <w:rFonts w:cs="宋体"/>
          <w:color w:val="000000"/>
          <w:lang w:val="en-US" w:eastAsia="zh-CN" w:bidi="ar-SA"/>
        </w:rPr>
      </w:pPr>
      <w:r>
        <w:rPr>
          <w:rFonts w:cs="宋体"/>
          <w:b/>
          <w:bCs/>
          <w:color w:val="000000"/>
          <w:lang w:val="en-US" w:eastAsia="zh-CN" w:bidi="ar-SA"/>
        </w:rPr>
        <w:t>毕业生通用能力增值情况较好。</w:t>
      </w:r>
      <w:r>
        <w:rPr>
          <w:rFonts w:cs="宋体"/>
          <w:color w:val="000000"/>
          <w:lang w:val="en-US" w:eastAsia="zh-CN" w:bidi="ar-SA"/>
        </w:rPr>
        <w:t>我校2023届</w:t>
      </w:r>
      <w:r>
        <w:rPr>
          <w:rFonts w:hint="eastAsia" w:cs="宋体"/>
          <w:color w:val="000000"/>
          <w:lang w:val="en-US" w:eastAsia="zh-CN" w:bidi="ar-SA"/>
        </w:rPr>
        <w:t>本科</w:t>
      </w:r>
      <w:r>
        <w:rPr>
          <w:rFonts w:cs="宋体"/>
          <w:color w:val="000000"/>
          <w:lang w:val="en-US" w:eastAsia="zh-CN" w:bidi="ar-SA"/>
        </w:rPr>
        <w:t>毕业生认为工作中</w:t>
      </w:r>
      <w:r>
        <w:rPr>
          <w:rFonts w:hint="eastAsia" w:cs="宋体"/>
          <w:color w:val="000000"/>
          <w:lang w:val="en-US" w:eastAsia="zh-CN" w:bidi="ar-SA"/>
        </w:rPr>
        <w:t>重要度较高的</w:t>
      </w:r>
      <w:r>
        <w:rPr>
          <w:rFonts w:cs="宋体"/>
          <w:color w:val="000000"/>
          <w:lang w:val="en-US" w:eastAsia="zh-CN" w:bidi="ar-SA"/>
        </w:rPr>
        <w:t>通用能力</w:t>
      </w:r>
      <w:r>
        <w:rPr>
          <w:rFonts w:hint="eastAsia" w:cs="宋体"/>
          <w:color w:val="000000"/>
          <w:lang w:val="en-US" w:eastAsia="zh-CN" w:bidi="ar-SA"/>
        </w:rPr>
        <w:t>主要</w:t>
      </w:r>
      <w:r>
        <w:rPr>
          <w:rFonts w:cs="宋体"/>
          <w:color w:val="000000"/>
          <w:lang w:val="en-US" w:eastAsia="zh-CN" w:bidi="ar-SA"/>
        </w:rPr>
        <w:t>是沟通交流、团队合作、终身学习</w:t>
      </w:r>
      <w:r>
        <w:rPr>
          <w:rFonts w:hint="eastAsia" w:cs="宋体"/>
          <w:color w:val="000000"/>
          <w:lang w:val="en-US" w:eastAsia="zh-CN" w:bidi="ar-SA"/>
        </w:rPr>
        <w:t>、解决问题</w:t>
      </w:r>
      <w:r>
        <w:rPr>
          <w:rFonts w:cs="宋体"/>
          <w:color w:val="000000"/>
          <w:lang w:val="en-US" w:eastAsia="zh-CN" w:bidi="ar-SA"/>
        </w:rPr>
        <w:t>，其增值比例分别为87%、87%、86%</w:t>
      </w:r>
      <w:r>
        <w:rPr>
          <w:rFonts w:hint="eastAsia" w:cs="宋体"/>
          <w:color w:val="000000"/>
          <w:lang w:val="en-US" w:eastAsia="zh-CN" w:bidi="ar-SA"/>
        </w:rPr>
        <w:t>、</w:t>
      </w:r>
      <w:r>
        <w:rPr>
          <w:rFonts w:hint="eastAsia" w:cs="宋体"/>
          <w:color w:val="000000"/>
          <w:lang w:val="en-US" w:bidi="ar-SA"/>
        </w:rPr>
        <w:t>9</w:t>
      </w:r>
      <w:r>
        <w:rPr>
          <w:rFonts w:cs="宋体"/>
          <w:color w:val="000000"/>
          <w:lang w:val="en-US" w:bidi="ar-SA"/>
        </w:rPr>
        <w:t>1%</w:t>
      </w:r>
      <w:r>
        <w:rPr>
          <w:rFonts w:cs="宋体"/>
          <w:color w:val="000000"/>
          <w:lang w:val="en-US" w:eastAsia="zh-CN" w:bidi="ar-SA"/>
        </w:rPr>
        <w:t>。</w:t>
      </w:r>
    </w:p>
    <w:p>
      <w:pPr>
        <w:jc w:val="center"/>
        <w:rPr>
          <w:rFonts w:cs="宋体"/>
          <w:color w:val="000000"/>
        </w:rPr>
      </w:pPr>
      <w:r>
        <w:drawing>
          <wp:inline distT="0" distB="0" distL="0" distR="0">
            <wp:extent cx="5219700" cy="3771900"/>
            <wp:effectExtent l="0" t="0" r="0" b="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19700" cy="3771900"/>
                    </a:xfrm>
                    <a:prstGeom prst="rect">
                      <a:avLst/>
                    </a:prstGeom>
                    <a:noFill/>
                    <a:ln>
                      <a:noFill/>
                    </a:ln>
                  </pic:spPr>
                </pic:pic>
              </a:graphicData>
            </a:graphic>
          </wp:inline>
        </w:drawing>
      </w:r>
    </w:p>
    <w:p>
      <w:pPr>
        <w:pStyle w:val="163"/>
        <w:numPr>
          <w:ilvl w:val="7"/>
          <w:numId w:val="12"/>
        </w:numPr>
        <w:spacing w:before="80" w:line="360" w:lineRule="auto"/>
        <w:ind w:left="420" w:hanging="420"/>
        <w:rPr>
          <w:rFonts w:cs="宋体"/>
          <w:color w:val="000000"/>
        </w:rPr>
      </w:pPr>
      <w:bookmarkStart w:id="93" w:name="_Toc153811607"/>
      <w:r>
        <w:rPr>
          <w:rFonts w:cs="宋体"/>
          <w:color w:val="000000"/>
        </w:rPr>
        <w:t>工作中最重要的通用能力及增值情况</w:t>
      </w:r>
      <w:bookmarkEnd w:id="93"/>
    </w:p>
    <w:p>
      <w:pPr>
        <w:pStyle w:val="165"/>
        <w:spacing w:line="360" w:lineRule="auto"/>
        <w:rPr>
          <w:rFonts w:cs="宋体"/>
          <w:color w:val="000000"/>
        </w:rPr>
      </w:pPr>
      <w:r>
        <w:rPr>
          <w:rFonts w:cs="宋体"/>
          <w:color w:val="000000"/>
        </w:rPr>
        <w:t>数据来源：麦可思-天津中医药大学2023届毕业生培养质量评价数据。</w:t>
      </w:r>
    </w:p>
    <w:p>
      <w:pPr>
        <w:pStyle w:val="165"/>
        <w:spacing w:line="360" w:lineRule="auto"/>
        <w:rPr>
          <w:rFonts w:hint="eastAsia" w:cs="宋体"/>
          <w:color w:val="000000"/>
        </w:rPr>
      </w:pPr>
    </w:p>
    <w:p>
      <w:pPr>
        <w:rPr>
          <w:rFonts w:cs="宋体"/>
          <w:color w:val="000000"/>
          <w:sz w:val="18"/>
        </w:rPr>
        <w:sectPr>
          <w:footnotePr>
            <w:numRestart w:val="eachPage"/>
          </w:footnotePr>
          <w:pgSz w:w="11906" w:h="16838"/>
          <w:pgMar w:top="1984" w:right="1531" w:bottom="1701" w:left="1701" w:header="992" w:footer="850" w:gutter="0"/>
          <w:cols w:space="708" w:num="1"/>
          <w:docGrid w:linePitch="360" w:charSpace="0"/>
        </w:sectPr>
      </w:pPr>
    </w:p>
    <w:p>
      <w:pPr>
        <w:pStyle w:val="159"/>
        <w:numPr>
          <w:ilvl w:val="2"/>
          <w:numId w:val="12"/>
        </w:numPr>
        <w:spacing w:before="120" w:after="120"/>
        <w:ind w:left="0"/>
        <w:rPr>
          <w:rFonts w:cs="宋体"/>
          <w:color w:val="006699"/>
        </w:rPr>
      </w:pPr>
      <w:bookmarkStart w:id="94" w:name="_Toc153811542"/>
      <w:r>
        <w:rPr>
          <w:rFonts w:cs="宋体"/>
          <w:color w:val="006699"/>
        </w:rPr>
        <w:drawing>
          <wp:anchor distT="0" distB="0" distL="114300" distR="114300" simplePos="0" relativeHeight="251692032" behindDoc="1" locked="0" layoutInCell="1" allowOverlap="1">
            <wp:simplePos x="0" y="0"/>
            <wp:positionH relativeFrom="column">
              <wp:posOffset>1383665</wp:posOffset>
            </wp:positionH>
            <wp:positionV relativeFrom="paragraph">
              <wp:posOffset>36195</wp:posOffset>
            </wp:positionV>
            <wp:extent cx="471805" cy="334645"/>
            <wp:effectExtent l="0" t="0" r="0" b="0"/>
            <wp:wrapNone/>
            <wp:docPr id="20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1805" cy="334645"/>
                    </a:xfrm>
                    <a:prstGeom prst="rect">
                      <a:avLst/>
                    </a:prstGeom>
                    <a:noFill/>
                  </pic:spPr>
                </pic:pic>
              </a:graphicData>
            </a:graphic>
          </wp:anchor>
        </w:drawing>
      </w:r>
      <w:r>
        <w:rPr>
          <w:rFonts w:cs="宋体"/>
          <w:color w:val="006699"/>
        </w:rPr>
        <w:t>工作展望</w:t>
      </w:r>
      <w:bookmarkEnd w:id="94"/>
    </w:p>
    <w:p>
      <w:pPr>
        <w:pStyle w:val="159"/>
        <w:spacing w:line="336" w:lineRule="auto"/>
        <w:ind w:firstLine="420"/>
        <w:jc w:val="both"/>
        <w:outlineLvl w:val="9"/>
        <w:rPr>
          <w:rFonts w:hAnsi="宋体" w:cs="宋体"/>
          <w:b w:val="0"/>
          <w:sz w:val="21"/>
        </w:rPr>
      </w:pPr>
      <w:r>
        <w:rPr>
          <w:rFonts w:hAnsi="宋体"/>
          <w:b w:val="0"/>
          <w:sz w:val="21"/>
        </w:rPr>
        <w:t>2024</w:t>
      </w:r>
      <w:r>
        <w:rPr>
          <w:rFonts w:hint="eastAsia" w:hAnsi="宋体"/>
          <w:b w:val="0"/>
          <w:sz w:val="21"/>
        </w:rPr>
        <w:t>年是全面实施</w:t>
      </w:r>
      <w:r>
        <w:rPr>
          <w:rFonts w:hint="eastAsia" w:ascii="宋体" w:hAnsi="宋体"/>
          <w:b w:val="0"/>
          <w:sz w:val="21"/>
        </w:rPr>
        <w:t>“</w:t>
      </w:r>
      <w:r>
        <w:rPr>
          <w:rFonts w:hint="eastAsia" w:hAnsi="宋体"/>
          <w:b w:val="0"/>
          <w:sz w:val="21"/>
        </w:rPr>
        <w:t>十四五</w:t>
      </w:r>
      <w:r>
        <w:rPr>
          <w:rFonts w:hint="eastAsia" w:ascii="宋体" w:hAnsi="宋体"/>
          <w:b w:val="0"/>
          <w:sz w:val="21"/>
        </w:rPr>
        <w:t>”</w:t>
      </w:r>
      <w:r>
        <w:rPr>
          <w:rFonts w:hint="eastAsia" w:hAnsi="宋体"/>
          <w:b w:val="0"/>
          <w:sz w:val="21"/>
        </w:rPr>
        <w:t>规划的重要一年，学校将继续扎实工作、开拓进取，进一步完善人才培养与就业工作体系，不断提升各项工作成效，着力强化就业对人才培养质量的反馈作用，持续优化</w:t>
      </w:r>
      <w:r>
        <w:rPr>
          <w:rFonts w:hint="eastAsia" w:ascii="宋体" w:hAnsi="宋体"/>
          <w:b w:val="0"/>
          <w:sz w:val="21"/>
        </w:rPr>
        <w:t>“</w:t>
      </w:r>
      <w:r>
        <w:rPr>
          <w:rFonts w:hint="eastAsia" w:hAnsi="宋体"/>
          <w:b w:val="0"/>
          <w:sz w:val="21"/>
        </w:rPr>
        <w:t>招生—培养—就业</w:t>
      </w:r>
      <w:r>
        <w:rPr>
          <w:rFonts w:hint="eastAsia" w:ascii="宋体" w:hAnsi="宋体"/>
          <w:b w:val="0"/>
          <w:sz w:val="21"/>
        </w:rPr>
        <w:t>”</w:t>
      </w:r>
      <w:r>
        <w:rPr>
          <w:rFonts w:hint="eastAsia" w:hAnsi="宋体"/>
          <w:b w:val="0"/>
          <w:sz w:val="21"/>
        </w:rPr>
        <w:t>良性互动机制，以此更大程度地促进人才培养质量的提升，并推动毕业生实现高质量充分就业</w:t>
      </w:r>
      <w:r>
        <w:rPr>
          <w:rFonts w:hint="eastAsia" w:hAnsi="宋体"/>
          <w:b w:val="0"/>
          <w:sz w:val="21"/>
          <w:lang w:eastAsia="zh-CN"/>
        </w:rPr>
        <w:t>。</w:t>
      </w:r>
    </w:p>
    <w:p>
      <w:pPr>
        <w:pStyle w:val="160"/>
        <w:numPr>
          <w:ilvl w:val="3"/>
          <w:numId w:val="12"/>
        </w:numPr>
        <w:spacing w:before="80" w:after="80"/>
        <w:rPr>
          <w:color w:val="006699"/>
        </w:rPr>
      </w:pPr>
      <w:bookmarkStart w:id="95" w:name="_Toc152007805"/>
      <w:bookmarkStart w:id="96" w:name="_Toc153811543"/>
      <w:r>
        <w:rPr>
          <w:rFonts w:hint="eastAsia"/>
          <w:color w:val="006699"/>
        </w:rPr>
        <w:t>优化学科专业结构，为京津冀中医药协同发展战略提供支撑</w:t>
      </w:r>
      <w:bookmarkEnd w:id="95"/>
      <w:bookmarkEnd w:id="96"/>
    </w:p>
    <w:p>
      <w:pPr>
        <w:keepNext/>
        <w:keepLines/>
        <w:spacing w:line="348" w:lineRule="auto"/>
        <w:ind w:firstLine="420"/>
        <w:rPr>
          <w:rFonts w:hAnsi="宋体"/>
        </w:rPr>
      </w:pPr>
      <w:r>
        <w:rPr>
          <w:rFonts w:hint="eastAsia" w:hAnsi="宋体"/>
        </w:rPr>
        <w:t>近年来</w:t>
      </w:r>
      <w:r>
        <w:rPr>
          <w:rFonts w:hint="eastAsia" w:ascii="宋体" w:hAnsi="宋体"/>
        </w:rPr>
        <w:t>“</w:t>
      </w:r>
      <w:r>
        <w:rPr>
          <w:rFonts w:hint="eastAsia" w:hAnsi="宋体"/>
        </w:rPr>
        <w:t>大健康</w:t>
      </w:r>
      <w:r>
        <w:rPr>
          <w:rFonts w:hint="eastAsia" w:ascii="宋体" w:hAnsi="宋体"/>
        </w:rPr>
        <w:t>”</w:t>
      </w:r>
      <w:r>
        <w:rPr>
          <w:rFonts w:hint="eastAsia" w:hAnsi="宋体"/>
        </w:rPr>
        <w:t>理念不断深入人心，这也对医学院校的专业体系、专业建设提出了新的、更高的要求。</w:t>
      </w:r>
      <w:r>
        <w:t>学校紧紧抓住专业建设这一人才培养的基本单元，为了适应</w:t>
      </w:r>
      <w:r>
        <w:rPr>
          <w:rFonts w:ascii="宋体" w:hAnsi="宋体"/>
        </w:rPr>
        <w:t>“</w:t>
      </w:r>
      <w:r>
        <w:rPr>
          <w:rFonts w:hAnsi="宋体"/>
        </w:rPr>
        <w:t>健康中国</w:t>
      </w:r>
      <w:r>
        <w:rPr>
          <w:rFonts w:ascii="宋体" w:hAnsi="宋体"/>
        </w:rPr>
        <w:t>”“</w:t>
      </w:r>
      <w:r>
        <w:rPr>
          <w:rFonts w:hAnsi="宋体"/>
        </w:rPr>
        <w:t>京津冀协同发展</w:t>
      </w:r>
      <w:r>
        <w:rPr>
          <w:rFonts w:ascii="宋体" w:hAnsi="宋体"/>
        </w:rPr>
        <w:t>”</w:t>
      </w:r>
      <w:r>
        <w:t>战略和中医学科发展的要求，强化临床医学对中医学专业的支撑，同时进一步完</w:t>
      </w:r>
      <w:r>
        <w:rPr>
          <w:rFonts w:hAnsi="宋体"/>
        </w:rPr>
        <w:t>善</w:t>
      </w:r>
      <w:r>
        <w:rPr>
          <w:rFonts w:ascii="宋体" w:hAnsi="宋体"/>
        </w:rPr>
        <w:t>“</w:t>
      </w:r>
      <w:r>
        <w:rPr>
          <w:rFonts w:hAnsi="宋体"/>
        </w:rPr>
        <w:t>大健康</w:t>
      </w:r>
      <w:r>
        <w:rPr>
          <w:rFonts w:ascii="宋体" w:hAnsi="宋体"/>
        </w:rPr>
        <w:t>”</w:t>
      </w:r>
      <w:r>
        <w:rPr>
          <w:rFonts w:hAnsi="宋体"/>
        </w:rPr>
        <w:t>理念下中医学专业的设置，学校持续调整专业结构，优化专业布局。2022年学校获批预防医学、应用统计学2个本科新专业，进一步围绕大健康战略优化了专业结构</w:t>
      </w:r>
      <w:r>
        <w:rPr>
          <w:rFonts w:hint="eastAsia" w:hAnsi="宋体"/>
        </w:rPr>
        <w:t>，基本形成了</w:t>
      </w:r>
      <w:r>
        <w:rPr>
          <w:rFonts w:cs="宋体"/>
          <w:color w:val="000000"/>
          <w:szCs w:val="60"/>
          <w:lang w:val="en-US" w:eastAsia="zh-CN" w:bidi="ar-SA"/>
        </w:rPr>
        <w:t>以</w:t>
      </w:r>
      <w:r>
        <w:t>中医药</w:t>
      </w:r>
      <w:r>
        <w:rPr>
          <w:rFonts w:cs="宋体"/>
          <w:color w:val="000000"/>
          <w:szCs w:val="60"/>
          <w:lang w:val="en-US" w:eastAsia="zh-CN" w:bidi="ar-SA"/>
        </w:rPr>
        <w:t>为主，</w:t>
      </w:r>
      <w:r>
        <w:t>医</w:t>
      </w:r>
      <w:r>
        <w:rPr>
          <w:rFonts w:hint="eastAsia"/>
        </w:rPr>
        <w:t>、</w:t>
      </w:r>
      <w:r>
        <w:t>理</w:t>
      </w:r>
      <w:r>
        <w:rPr>
          <w:rFonts w:hint="eastAsia"/>
        </w:rPr>
        <w:t>、</w:t>
      </w:r>
      <w:r>
        <w:t>文</w:t>
      </w:r>
      <w:r>
        <w:rPr>
          <w:rFonts w:hint="eastAsia"/>
        </w:rPr>
        <w:t>、</w:t>
      </w:r>
      <w:r>
        <w:t>管</w:t>
      </w:r>
      <w:r>
        <w:rPr>
          <w:rFonts w:hint="eastAsia"/>
        </w:rPr>
        <w:t>、</w:t>
      </w:r>
      <w:r>
        <w:t>工</w:t>
      </w:r>
      <w:r>
        <w:rPr>
          <w:rFonts w:hint="eastAsia"/>
        </w:rPr>
        <w:t>、</w:t>
      </w:r>
      <w:r>
        <w:t>教</w:t>
      </w:r>
      <w:r>
        <w:rPr>
          <w:rFonts w:hint="eastAsia"/>
        </w:rPr>
        <w:t>育</w:t>
      </w:r>
      <w:r>
        <w:rPr>
          <w:rFonts w:hint="eastAsia" w:hAnsi="宋体"/>
        </w:rPr>
        <w:t>多学科交叉融合发展的专业结构布局。下一步，学校将继续深入贯彻落实教育部等五部门关于《普通高等教育学科专业设置调整优化改革方案》的相关要求，加强新医科建设，稳步构建以医学为主、多学科协调发展的专业格局，努力为健康中国、健康天津建设提供更加强有力的支撑</w:t>
      </w:r>
      <w:r>
        <w:rPr>
          <w:rFonts w:hint="eastAsia" w:hAnsi="宋体" w:cs="宋体"/>
        </w:rPr>
        <w:t>。</w:t>
      </w:r>
    </w:p>
    <w:p>
      <w:pPr>
        <w:pStyle w:val="160"/>
        <w:numPr>
          <w:ilvl w:val="3"/>
          <w:numId w:val="12"/>
        </w:numPr>
        <w:spacing w:before="80" w:after="80"/>
        <w:rPr>
          <w:color w:val="006699"/>
        </w:rPr>
      </w:pPr>
      <w:bookmarkStart w:id="97" w:name="_Toc153811544"/>
      <w:bookmarkStart w:id="98" w:name="_Toc152007806"/>
      <w:r>
        <w:rPr>
          <w:rFonts w:hint="eastAsia"/>
          <w:color w:val="006699"/>
        </w:rPr>
        <w:t>围绕</w:t>
      </w:r>
      <w:r>
        <w:rPr>
          <w:rFonts w:hint="eastAsia" w:ascii="宋体" w:hAnsi="宋体"/>
          <w:color w:val="006699"/>
        </w:rPr>
        <w:t>“</w:t>
      </w:r>
      <w:r>
        <w:rPr>
          <w:rFonts w:hint="eastAsia"/>
          <w:color w:val="006699"/>
        </w:rPr>
        <w:t>新医科</w:t>
      </w:r>
      <w:r>
        <w:rPr>
          <w:rFonts w:hint="eastAsia" w:ascii="宋体" w:hAnsi="宋体"/>
          <w:color w:val="006699"/>
        </w:rPr>
        <w:t>”</w:t>
      </w:r>
      <w:r>
        <w:rPr>
          <w:rFonts w:hint="eastAsia"/>
          <w:color w:val="006699"/>
        </w:rPr>
        <w:t>专业建设要求，深化人才培养和教学改革</w:t>
      </w:r>
      <w:bookmarkEnd w:id="97"/>
      <w:bookmarkEnd w:id="98"/>
    </w:p>
    <w:p>
      <w:pPr>
        <w:keepNext/>
        <w:keepLines/>
        <w:spacing w:line="348" w:lineRule="auto"/>
        <w:ind w:firstLine="420"/>
        <w:rPr>
          <w:color w:val="006699"/>
        </w:rPr>
      </w:pPr>
      <w:r>
        <w:rPr>
          <w:rFonts w:hint="eastAsia" w:hAnsi="宋体"/>
        </w:rPr>
        <w:t>在调整优化学科专业结构的同时，对培养过程的持续改进也必不可少。学校将围绕新医科建设要求，聚焦理念内容、方法技术、标准评价等，全方位改造升级医学专业，在培养方案、课程体系、教学内容、教学方法、实践环节等方面更加充分地体现新医科建设理念。在课程方面，通过金课建设提高课程质量，推进优质课程建设，及时将专业相关领域发展前沿成果、最新要求融入其中；在教学方面，继续引导教师采用启发式、探究式和互动式等方法开展教学，强化信息技术在日常教学中的运用，并进一步强化实践教学环节。与此同时，学校也将进一步深化医教协同，持续推进医学教育改革与发展。</w:t>
      </w:r>
    </w:p>
    <w:p>
      <w:pPr>
        <w:pStyle w:val="160"/>
        <w:numPr>
          <w:ilvl w:val="3"/>
          <w:numId w:val="12"/>
        </w:numPr>
        <w:spacing w:before="80" w:after="80"/>
        <w:rPr>
          <w:color w:val="006699"/>
        </w:rPr>
      </w:pPr>
      <w:bookmarkStart w:id="99" w:name="_Toc152007807"/>
      <w:bookmarkStart w:id="100" w:name="_Toc153811545"/>
      <w:r>
        <w:rPr>
          <w:rFonts w:hint="eastAsia"/>
          <w:color w:val="006699"/>
        </w:rPr>
        <w:t>深入推进就业育人，构建高质量就业指导服务体系</w:t>
      </w:r>
      <w:bookmarkEnd w:id="99"/>
      <w:bookmarkEnd w:id="100"/>
    </w:p>
    <w:p>
      <w:pPr>
        <w:spacing w:line="348" w:lineRule="auto"/>
        <w:ind w:firstLine="420"/>
      </w:pPr>
      <w:r>
        <w:rPr>
          <w:rFonts w:hint="eastAsia"/>
        </w:rPr>
        <w:t>毕业生的去向落实是人才培养链条的关键一环，但就业指导工作不能仅仅局限在毕业年。学校将坚持以学生为导向，确保就业服务以学生的需求和兴趣为中心，持续跟踪学生的就业情况，进一步构建和完善分阶段、全覆盖的就业指导与服务体系，把就业教育和就业引导作为</w:t>
      </w:r>
      <w:r>
        <w:rPr>
          <w:rFonts w:hint="eastAsia" w:ascii="宋体" w:hAnsi="宋体"/>
        </w:rPr>
        <w:t>“</w:t>
      </w:r>
      <w:r>
        <w:rPr>
          <w:rFonts w:hint="eastAsia"/>
        </w:rPr>
        <w:t>三全育人</w:t>
      </w:r>
      <w:r>
        <w:rPr>
          <w:rFonts w:hint="eastAsia" w:ascii="宋体" w:hAnsi="宋体"/>
        </w:rPr>
        <w:t>”</w:t>
      </w:r>
      <w:r>
        <w:rPr>
          <w:rFonts w:hint="eastAsia"/>
        </w:rPr>
        <w:t>的重要内容，在课程、实践、校园活动等人才培养全过程切实融入就业教育。与此同时，学校将积极建立及维护职业网络，为学生提供实际的职业支持和机会。学校还将继续依托相关竞赛活动，推进赛教融合，强化就业育人。此外，学校将进一步扩大求职技能培训和辅导的覆盖面，帮助学生开发就业技能，以此更大程度促进毕业生求职能力的提升。</w:t>
      </w:r>
    </w:p>
    <w:p>
      <w:pPr>
        <w:pStyle w:val="158"/>
        <w:rPr>
          <w:rFonts w:cs="宋体"/>
          <w:color w:val="006699"/>
        </w:rPr>
      </w:pPr>
      <w:bookmarkStart w:id="101" w:name="_Toc153811546"/>
      <w:bookmarkStart w:id="102" w:name="_Toc153811608"/>
      <w:r>
        <w:rPr>
          <w:rFonts w:hint="eastAsia" w:cs="宋体"/>
          <w:color w:val="006699"/>
        </w:rPr>
        <w:t>附录：勇搏励志班主要指标对比表</w:t>
      </w:r>
      <w:bookmarkEnd w:id="101"/>
      <w:bookmarkEnd w:id="102"/>
    </w:p>
    <w:p>
      <w:pPr>
        <w:ind w:firstLine="420"/>
      </w:pPr>
      <w:r>
        <w:rPr>
          <w:rFonts w:hint="eastAsia"/>
        </w:rPr>
        <w:t>为培育有责任、敢担当、有志向、能奉献的新时代中医药人才，天津中医药大学校长张伯礼院士于2009年倡导建立了勇搏励志班，旨在培养学生高尚的道德情操、磨炼坚韧的意志品质。学校党委高度重视勇搏励志班建设，将其纳入学校思政改革攻坚重点任务和学校</w:t>
      </w:r>
      <w:r>
        <w:rPr>
          <w:rFonts w:hint="eastAsia" w:ascii="宋体" w:hAnsi="宋体"/>
        </w:rPr>
        <w:t>“</w:t>
      </w:r>
      <w:r>
        <w:rPr>
          <w:rFonts w:hint="eastAsia"/>
        </w:rPr>
        <w:t>一校一品</w:t>
      </w:r>
      <w:r>
        <w:rPr>
          <w:rFonts w:hint="eastAsia" w:ascii="宋体" w:hAnsi="宋体"/>
        </w:rPr>
        <w:t>”</w:t>
      </w:r>
      <w:r>
        <w:rPr>
          <w:rFonts w:hint="eastAsia"/>
        </w:rPr>
        <w:t>重点建设品牌项目，通过开展意志力训练、学习能力训练、表达能力训练、人格修养锻炼、社会实践能力训练、团队协作能力训练、专业能力训练、就业能力训练</w:t>
      </w:r>
      <w:r>
        <w:rPr>
          <w:rFonts w:hint="eastAsia" w:ascii="宋体" w:hAnsi="宋体"/>
        </w:rPr>
        <w:t>“</w:t>
      </w:r>
      <w:r>
        <w:rPr>
          <w:rFonts w:hint="eastAsia"/>
        </w:rPr>
        <w:t>八大能力</w:t>
      </w:r>
      <w:r>
        <w:rPr>
          <w:rFonts w:hint="eastAsia" w:ascii="宋体" w:hAnsi="宋体"/>
        </w:rPr>
        <w:t>”</w:t>
      </w:r>
      <w:r>
        <w:rPr>
          <w:rFonts w:hint="eastAsia"/>
        </w:rPr>
        <w:t>训练，全面提升勇搏学子的综合素质和能力。</w:t>
      </w:r>
    </w:p>
    <w:p>
      <w:pPr>
        <w:ind w:firstLine="420"/>
        <w:rPr>
          <w:rFonts w:hint="eastAsia"/>
        </w:rPr>
      </w:pPr>
      <w:r>
        <w:rPr>
          <w:rFonts w:hint="eastAsia"/>
        </w:rPr>
        <w:t>从调研情况来看，我校2</w:t>
      </w:r>
      <w:r>
        <w:t>023</w:t>
      </w:r>
      <w:r>
        <w:rPr>
          <w:rFonts w:hint="eastAsia"/>
        </w:rPr>
        <w:t>届勇搏励志班毕业生对多数指标的评价均优于非勇搏励志班毕业生，毕业生就业质量以及教学质量评价均具有优势，</w:t>
      </w:r>
      <w:r>
        <w:rPr>
          <w:rFonts w:hint="eastAsia" w:ascii="宋体" w:hAnsi="宋体"/>
        </w:rPr>
        <w:t>“</w:t>
      </w:r>
      <w:r>
        <w:rPr>
          <w:rFonts w:hint="eastAsia"/>
        </w:rPr>
        <w:t>勇搏励志</w:t>
      </w:r>
      <w:r>
        <w:rPr>
          <w:rFonts w:hint="eastAsia" w:ascii="宋体" w:hAnsi="宋体"/>
        </w:rPr>
        <w:t>”</w:t>
      </w:r>
      <w:r>
        <w:rPr>
          <w:rFonts w:hint="eastAsia"/>
        </w:rPr>
        <w:t>育人成效较好。具体数据情况如下：</w:t>
      </w:r>
    </w:p>
    <w:p>
      <w:pPr>
        <w:spacing w:line="348" w:lineRule="auto"/>
        <w:ind w:firstLine="420"/>
        <w:jc w:val="right"/>
        <w:rPr>
          <w:b/>
          <w:bCs/>
          <w:sz w:val="18"/>
          <w:szCs w:val="18"/>
        </w:rPr>
      </w:pPr>
      <w:r>
        <w:rPr>
          <w:rFonts w:hint="eastAsia"/>
          <w:b/>
          <w:bCs/>
          <w:sz w:val="18"/>
          <w:szCs w:val="18"/>
        </w:rPr>
        <w:t>单位：%</w:t>
      </w:r>
    </w:p>
    <w:p>
      <w:pPr>
        <w:pStyle w:val="163"/>
        <w:numPr>
          <w:ilvl w:val="8"/>
          <w:numId w:val="16"/>
        </w:numPr>
        <w:spacing w:before="80" w:line="360" w:lineRule="auto"/>
        <w:rPr>
          <w:rFonts w:cs="宋体"/>
          <w:color w:val="000000"/>
          <w:szCs w:val="60"/>
        </w:rPr>
      </w:pPr>
      <w:bookmarkStart w:id="103" w:name="_Toc153811609"/>
      <w:r>
        <w:rPr>
          <w:rFonts w:hint="eastAsia" w:cs="宋体"/>
          <w:color w:val="000000"/>
          <w:szCs w:val="60"/>
        </w:rPr>
        <w:t>勇搏励志班</w:t>
      </w:r>
      <w:r>
        <w:rPr>
          <w:rFonts w:hint="eastAsia" w:cs="宋体"/>
          <w:color w:val="000000"/>
          <w:szCs w:val="60"/>
          <w:lang w:eastAsia="zh-CN"/>
        </w:rPr>
        <w:t>毕业生评价</w:t>
      </w:r>
      <w:r>
        <w:rPr>
          <w:rFonts w:hint="eastAsia" w:cs="宋体"/>
          <w:color w:val="000000"/>
          <w:szCs w:val="60"/>
        </w:rPr>
        <w:t>主要指标对比表</w:t>
      </w:r>
      <w:bookmarkEnd w:id="103"/>
    </w:p>
    <w:tbl>
      <w:tblPr>
        <w:tblStyle w:val="88"/>
        <w:tblW w:w="5000" w:type="pct"/>
        <w:tblInd w:w="0" w:type="dxa"/>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Layout w:type="autofit"/>
        <w:tblCellMar>
          <w:top w:w="0" w:type="dxa"/>
          <w:left w:w="108" w:type="dxa"/>
          <w:bottom w:w="0" w:type="dxa"/>
          <w:right w:w="108" w:type="dxa"/>
        </w:tblCellMar>
      </w:tblPr>
      <w:tblGrid>
        <w:gridCol w:w="2962"/>
        <w:gridCol w:w="2963"/>
        <w:gridCol w:w="2965"/>
      </w:tblGrid>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blHeader/>
        </w:trPr>
        <w:tc>
          <w:tcPr>
            <w:tcW w:w="1665" w:type="pct"/>
            <w:tcBorders>
              <w:bottom w:val="single" w:color="9FDFFF" w:sz="8" w:space="0"/>
            </w:tcBorders>
            <w:shd w:val="clear" w:color="auto" w:fill="006699"/>
            <w:noWrap/>
            <w:vAlign w:val="center"/>
          </w:tcPr>
          <w:p>
            <w:pPr>
              <w:spacing w:line="240" w:lineRule="auto"/>
              <w:jc w:val="center"/>
              <w:rPr>
                <w:b/>
                <w:color w:val="FFFFFF"/>
                <w:sz w:val="20"/>
              </w:rPr>
            </w:pPr>
            <w:r>
              <w:rPr>
                <w:rFonts w:hint="eastAsia"/>
                <w:b/>
                <w:color w:val="FFFFFF"/>
                <w:sz w:val="20"/>
              </w:rPr>
              <w:t>指标名称</w:t>
            </w:r>
          </w:p>
        </w:tc>
        <w:tc>
          <w:tcPr>
            <w:tcW w:w="1666" w:type="pct"/>
            <w:tcBorders>
              <w:bottom w:val="single" w:color="9FDFFF" w:sz="8" w:space="0"/>
            </w:tcBorders>
            <w:shd w:val="clear" w:color="auto" w:fill="23A5C3"/>
            <w:noWrap/>
            <w:vAlign w:val="center"/>
          </w:tcPr>
          <w:p>
            <w:pPr>
              <w:spacing w:line="240" w:lineRule="auto"/>
              <w:jc w:val="center"/>
              <w:rPr>
                <w:rFonts w:hint="eastAsia"/>
                <w:b/>
                <w:color w:val="FFFFFF"/>
                <w:sz w:val="20"/>
              </w:rPr>
            </w:pPr>
            <w:r>
              <w:rPr>
                <w:rFonts w:hint="eastAsia"/>
                <w:b/>
                <w:color w:val="FFFFFF"/>
                <w:sz w:val="20"/>
              </w:rPr>
              <w:t>勇搏励志班</w:t>
            </w:r>
          </w:p>
        </w:tc>
        <w:tc>
          <w:tcPr>
            <w:tcW w:w="1667" w:type="pct"/>
            <w:tcBorders>
              <w:bottom w:val="single" w:color="9FDFFF" w:sz="8" w:space="0"/>
            </w:tcBorders>
            <w:shd w:val="clear" w:color="auto" w:fill="66CCCC"/>
            <w:noWrap/>
            <w:vAlign w:val="center"/>
          </w:tcPr>
          <w:p>
            <w:pPr>
              <w:spacing w:line="240" w:lineRule="auto"/>
              <w:jc w:val="center"/>
              <w:rPr>
                <w:rFonts w:hint="eastAsia"/>
                <w:b/>
                <w:color w:val="FFFFFF"/>
                <w:sz w:val="20"/>
              </w:rPr>
            </w:pPr>
            <w:r>
              <w:rPr>
                <w:rFonts w:hint="eastAsia"/>
                <w:b/>
                <w:color w:val="FFFFFF"/>
                <w:sz w:val="20"/>
              </w:rPr>
              <w:t>其他班级</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665" w:type="pct"/>
            <w:tcBorders>
              <w:bottom w:val="single" w:color="9FDFFF" w:sz="8" w:space="0"/>
            </w:tcBorders>
            <w:shd w:val="clear" w:color="auto" w:fill="FFFFFF"/>
            <w:noWrap/>
            <w:vAlign w:val="center"/>
          </w:tcPr>
          <w:p>
            <w:pPr>
              <w:spacing w:line="240" w:lineRule="auto"/>
              <w:jc w:val="left"/>
              <w:rPr>
                <w:rFonts w:hint="eastAsia"/>
                <w:color w:val="000000"/>
                <w:sz w:val="20"/>
              </w:rPr>
            </w:pPr>
            <w:r>
              <w:rPr>
                <w:rFonts w:hint="eastAsia"/>
                <w:color w:val="000000"/>
                <w:sz w:val="20"/>
              </w:rPr>
              <w:t>专业相关度</w:t>
            </w:r>
          </w:p>
        </w:tc>
        <w:tc>
          <w:tcPr>
            <w:tcW w:w="1666"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92</w:t>
            </w:r>
          </w:p>
        </w:tc>
        <w:tc>
          <w:tcPr>
            <w:tcW w:w="1667"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86</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665" w:type="pct"/>
            <w:tcBorders>
              <w:bottom w:val="single" w:color="9FDFFF" w:sz="8" w:space="0"/>
            </w:tcBorders>
            <w:shd w:val="clear" w:color="auto" w:fill="DAF1FE"/>
            <w:noWrap/>
            <w:vAlign w:val="center"/>
          </w:tcPr>
          <w:p>
            <w:pPr>
              <w:spacing w:line="240" w:lineRule="auto"/>
              <w:jc w:val="left"/>
              <w:rPr>
                <w:rFonts w:hint="eastAsia"/>
                <w:color w:val="000000"/>
                <w:sz w:val="20"/>
              </w:rPr>
            </w:pPr>
            <w:r>
              <w:rPr>
                <w:rFonts w:hint="eastAsia"/>
                <w:color w:val="000000"/>
                <w:sz w:val="20"/>
              </w:rPr>
              <w:t>就业满意度</w:t>
            </w:r>
          </w:p>
        </w:tc>
        <w:tc>
          <w:tcPr>
            <w:tcW w:w="1666" w:type="pct"/>
            <w:tcBorders>
              <w:bottom w:val="single" w:color="9FDFFF" w:sz="8" w:space="0"/>
            </w:tcBorders>
            <w:shd w:val="clear" w:color="auto" w:fill="E5F7FB"/>
            <w:noWrap/>
            <w:vAlign w:val="center"/>
          </w:tcPr>
          <w:p>
            <w:pPr>
              <w:spacing w:line="240" w:lineRule="auto"/>
              <w:jc w:val="center"/>
              <w:rPr>
                <w:rFonts w:hint="eastAsia"/>
                <w:color w:val="000000"/>
                <w:sz w:val="20"/>
              </w:rPr>
            </w:pPr>
            <w:r>
              <w:rPr>
                <w:rFonts w:hint="eastAsia"/>
                <w:color w:val="000000"/>
                <w:sz w:val="20"/>
              </w:rPr>
              <w:t>88</w:t>
            </w:r>
          </w:p>
        </w:tc>
        <w:tc>
          <w:tcPr>
            <w:tcW w:w="1667"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77</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665" w:type="pct"/>
            <w:tcBorders>
              <w:bottom w:val="single" w:color="9FDFFF" w:sz="8" w:space="0"/>
            </w:tcBorders>
            <w:shd w:val="clear" w:color="auto" w:fill="DAF1FE"/>
            <w:noWrap/>
            <w:vAlign w:val="center"/>
          </w:tcPr>
          <w:p>
            <w:pPr>
              <w:spacing w:line="240" w:lineRule="auto"/>
              <w:jc w:val="left"/>
              <w:rPr>
                <w:rFonts w:hint="eastAsia"/>
                <w:color w:val="000000"/>
                <w:sz w:val="20"/>
              </w:rPr>
            </w:pPr>
            <w:r>
              <w:rPr>
                <w:rFonts w:hint="eastAsia"/>
                <w:color w:val="000000"/>
                <w:sz w:val="20"/>
              </w:rPr>
              <w:t>离职率</w:t>
            </w:r>
          </w:p>
        </w:tc>
        <w:tc>
          <w:tcPr>
            <w:tcW w:w="1666" w:type="pct"/>
            <w:tcBorders>
              <w:bottom w:val="single" w:color="9FDFFF" w:sz="8" w:space="0"/>
            </w:tcBorders>
            <w:shd w:val="clear" w:color="auto" w:fill="E5F7FB"/>
            <w:noWrap/>
            <w:vAlign w:val="center"/>
          </w:tcPr>
          <w:p>
            <w:pPr>
              <w:spacing w:line="240" w:lineRule="auto"/>
              <w:jc w:val="center"/>
              <w:rPr>
                <w:rFonts w:hint="eastAsia"/>
                <w:color w:val="000000"/>
                <w:sz w:val="20"/>
              </w:rPr>
            </w:pPr>
            <w:r>
              <w:rPr>
                <w:rFonts w:hint="eastAsia"/>
                <w:color w:val="000000"/>
                <w:sz w:val="20"/>
              </w:rPr>
              <w:t>19</w:t>
            </w:r>
          </w:p>
        </w:tc>
        <w:tc>
          <w:tcPr>
            <w:tcW w:w="1667" w:type="pct"/>
            <w:tcBorders>
              <w:bottom w:val="single" w:color="9FDFFF" w:sz="8" w:space="0"/>
            </w:tcBorders>
            <w:shd w:val="clear" w:color="auto" w:fill="D9F3F2"/>
            <w:noWrap/>
            <w:vAlign w:val="center"/>
          </w:tcPr>
          <w:p>
            <w:pPr>
              <w:spacing w:line="240" w:lineRule="auto"/>
              <w:jc w:val="center"/>
              <w:rPr>
                <w:rFonts w:hint="eastAsia"/>
                <w:color w:val="000000"/>
                <w:sz w:val="20"/>
              </w:rPr>
            </w:pPr>
            <w:r>
              <w:rPr>
                <w:rFonts w:hint="eastAsia"/>
                <w:color w:val="000000"/>
                <w:sz w:val="20"/>
              </w:rPr>
              <w:t>19</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665" w:type="pct"/>
            <w:tcBorders>
              <w:bottom w:val="single" w:color="9FDFFF" w:sz="8" w:space="0"/>
            </w:tcBorders>
            <w:shd w:val="clear" w:color="auto" w:fill="FFFFFF"/>
            <w:noWrap/>
            <w:vAlign w:val="center"/>
          </w:tcPr>
          <w:p>
            <w:pPr>
              <w:spacing w:line="240" w:lineRule="auto"/>
              <w:jc w:val="left"/>
              <w:rPr>
                <w:rFonts w:hint="eastAsia"/>
                <w:color w:val="000000"/>
                <w:sz w:val="20"/>
              </w:rPr>
            </w:pPr>
            <w:r>
              <w:rPr>
                <w:rFonts w:hint="eastAsia"/>
                <w:color w:val="000000"/>
                <w:sz w:val="20"/>
              </w:rPr>
              <w:t>教学满意度</w:t>
            </w:r>
          </w:p>
        </w:tc>
        <w:tc>
          <w:tcPr>
            <w:tcW w:w="1666"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97</w:t>
            </w:r>
          </w:p>
        </w:tc>
        <w:tc>
          <w:tcPr>
            <w:tcW w:w="1667" w:type="pct"/>
            <w:tcBorders>
              <w:bottom w:val="single" w:color="9FDFFF" w:sz="8" w:space="0"/>
            </w:tcBorders>
            <w:shd w:val="clear" w:color="auto" w:fill="FFFFFF"/>
            <w:noWrap/>
            <w:vAlign w:val="center"/>
          </w:tcPr>
          <w:p>
            <w:pPr>
              <w:spacing w:line="240" w:lineRule="auto"/>
              <w:jc w:val="center"/>
              <w:rPr>
                <w:rFonts w:hint="eastAsia"/>
                <w:color w:val="000000"/>
                <w:sz w:val="20"/>
              </w:rPr>
            </w:pPr>
            <w:r>
              <w:rPr>
                <w:rFonts w:hint="eastAsia"/>
                <w:color w:val="000000"/>
                <w:sz w:val="20"/>
              </w:rPr>
              <w:t>95</w:t>
            </w:r>
          </w:p>
        </w:tc>
      </w:tr>
      <w:tr>
        <w:tblPrEx>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CellMar>
            <w:top w:w="0" w:type="dxa"/>
            <w:left w:w="108" w:type="dxa"/>
            <w:bottom w:w="0" w:type="dxa"/>
            <w:right w:w="108" w:type="dxa"/>
          </w:tblCellMar>
        </w:tblPrEx>
        <w:trPr>
          <w:trHeight w:val="270" w:hRule="atLeast"/>
        </w:trPr>
        <w:tc>
          <w:tcPr>
            <w:tcW w:w="1665" w:type="pct"/>
            <w:shd w:val="clear" w:color="auto" w:fill="FFFFFF"/>
            <w:noWrap/>
            <w:vAlign w:val="center"/>
          </w:tcPr>
          <w:p>
            <w:pPr>
              <w:spacing w:line="240" w:lineRule="auto"/>
              <w:jc w:val="left"/>
              <w:rPr>
                <w:rFonts w:hint="eastAsia"/>
                <w:color w:val="000000"/>
                <w:sz w:val="20"/>
              </w:rPr>
            </w:pPr>
            <w:r>
              <w:rPr>
                <w:rFonts w:hint="eastAsia"/>
                <w:color w:val="000000"/>
                <w:sz w:val="20"/>
              </w:rPr>
              <w:t>校友满意度</w:t>
            </w:r>
          </w:p>
        </w:tc>
        <w:tc>
          <w:tcPr>
            <w:tcW w:w="1666" w:type="pct"/>
            <w:shd w:val="clear" w:color="auto" w:fill="FFFFFF"/>
            <w:noWrap/>
            <w:vAlign w:val="center"/>
          </w:tcPr>
          <w:p>
            <w:pPr>
              <w:spacing w:line="240" w:lineRule="auto"/>
              <w:jc w:val="center"/>
              <w:rPr>
                <w:rFonts w:hint="eastAsia"/>
                <w:color w:val="000000"/>
                <w:sz w:val="20"/>
              </w:rPr>
            </w:pPr>
            <w:r>
              <w:rPr>
                <w:rFonts w:hint="eastAsia"/>
                <w:color w:val="000000"/>
                <w:sz w:val="20"/>
              </w:rPr>
              <w:t>97</w:t>
            </w:r>
          </w:p>
        </w:tc>
        <w:tc>
          <w:tcPr>
            <w:tcW w:w="1667" w:type="pct"/>
            <w:shd w:val="clear" w:color="auto" w:fill="FFFFFF"/>
            <w:noWrap/>
            <w:vAlign w:val="center"/>
          </w:tcPr>
          <w:p>
            <w:pPr>
              <w:spacing w:line="240" w:lineRule="auto"/>
              <w:jc w:val="center"/>
              <w:rPr>
                <w:rFonts w:hint="eastAsia"/>
                <w:color w:val="000000"/>
                <w:sz w:val="20"/>
              </w:rPr>
            </w:pPr>
            <w:r>
              <w:rPr>
                <w:rFonts w:hint="eastAsia"/>
                <w:color w:val="000000"/>
                <w:sz w:val="20"/>
              </w:rPr>
              <w:t>95</w:t>
            </w:r>
          </w:p>
        </w:tc>
      </w:tr>
    </w:tbl>
    <w:p>
      <w:pPr>
        <w:pStyle w:val="165"/>
        <w:spacing w:line="360" w:lineRule="auto"/>
        <w:rPr>
          <w:rFonts w:cs="宋体"/>
          <w:color w:val="000000"/>
        </w:rPr>
      </w:pPr>
      <w:r>
        <w:rPr>
          <w:rFonts w:cs="宋体"/>
          <w:color w:val="000000"/>
        </w:rPr>
        <w:t>数据来源：麦可思-天津中医药大学2023届毕业生培养质量评价数据。</w:t>
      </w:r>
    </w:p>
    <w:p>
      <w:pPr>
        <w:pStyle w:val="165"/>
        <w:spacing w:line="360" w:lineRule="auto"/>
        <w:rPr>
          <w:rFonts w:hint="eastAsia" w:cs="宋体"/>
          <w:color w:val="000000"/>
        </w:rPr>
      </w:pPr>
    </w:p>
    <w:p>
      <w:pPr>
        <w:spacing w:line="348" w:lineRule="auto"/>
        <w:ind w:firstLine="420"/>
        <w:rPr>
          <w:rFonts w:hint="eastAsia"/>
          <w:kern w:val="0"/>
          <w:sz w:val="20"/>
          <w:szCs w:val="20"/>
        </w:rPr>
        <w:sectPr>
          <w:footnotePr>
            <w:numRestart w:val="eachPage"/>
          </w:footnotePr>
          <w:pgSz w:w="11906" w:h="16838"/>
          <w:pgMar w:top="1984" w:right="1531" w:bottom="1701" w:left="1701" w:header="992" w:footer="850" w:gutter="0"/>
          <w:cols w:space="708" w:num="1"/>
          <w:docGrid w:linePitch="360" w:charSpace="0"/>
        </w:sectPr>
      </w:pPr>
    </w:p>
    <w:p>
      <w:pPr>
        <w:widowControl/>
        <w:spacing w:line="240" w:lineRule="auto"/>
        <w:jc w:val="left"/>
        <w:rPr>
          <w:rFonts w:hint="eastAsia" w:ascii="Times New Roman" w:hAnsi="Times New Roman" w:cs="Times New Roman"/>
          <w:lang w:val="zh-CN" w:eastAsia="zh-CN"/>
        </w:rPr>
      </w:pPr>
      <w:r>
        <w:drawing>
          <wp:anchor distT="0" distB="0" distL="114300" distR="114300" simplePos="0" relativeHeight="251701248" behindDoc="1" locked="0" layoutInCell="1" allowOverlap="1">
            <wp:simplePos x="0" y="0"/>
            <wp:positionH relativeFrom="page">
              <wp:posOffset>15240</wp:posOffset>
            </wp:positionH>
            <wp:positionV relativeFrom="page">
              <wp:posOffset>0</wp:posOffset>
            </wp:positionV>
            <wp:extent cx="7549515" cy="10677525"/>
            <wp:effectExtent l="0" t="0" r="0" b="0"/>
            <wp:wrapNone/>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549515" cy="10677525"/>
                    </a:xfrm>
                    <a:prstGeom prst="rect">
                      <a:avLst/>
                    </a:prstGeom>
                    <a:noFill/>
                    <a:ln>
                      <a:noFill/>
                    </a:ln>
                  </pic:spPr>
                </pic:pic>
              </a:graphicData>
            </a:graphic>
          </wp:anchor>
        </w:drawing>
      </w:r>
      <w:r>
        <mc:AlternateContent>
          <mc:Choice Requires="wps">
            <w:drawing>
              <wp:anchor distT="0" distB="0" distL="114300" distR="114300" simplePos="0" relativeHeight="251700224" behindDoc="0" locked="0" layoutInCell="1" allowOverlap="1">
                <wp:simplePos x="0" y="0"/>
                <wp:positionH relativeFrom="margin">
                  <wp:posOffset>184785</wp:posOffset>
                </wp:positionH>
                <wp:positionV relativeFrom="paragraph">
                  <wp:posOffset>2930525</wp:posOffset>
                </wp:positionV>
                <wp:extent cx="5285740" cy="856615"/>
                <wp:effectExtent l="0" t="0" r="2540" b="1270"/>
                <wp:wrapNone/>
                <wp:docPr id="414771982" name="Rectangle 4"/>
                <wp:cNvGraphicFramePr/>
                <a:graphic xmlns:a="http://schemas.openxmlformats.org/drawingml/2006/main">
                  <a:graphicData uri="http://schemas.microsoft.com/office/word/2010/wordprocessingShape">
                    <wps:wsp>
                      <wps:cNvSpPr txBox="1">
                        <a:spLocks noChangeArrowheads="1"/>
                      </wps:cNvSpPr>
                      <wps:spPr bwMode="auto">
                        <a:xfrm>
                          <a:off x="0" y="0"/>
                          <a:ext cx="5285740" cy="856615"/>
                        </a:xfrm>
                        <a:prstGeom prst="rect">
                          <a:avLst/>
                        </a:prstGeom>
                        <a:noFill/>
                        <a:ln>
                          <a:noFill/>
                        </a:ln>
                      </wps:spPr>
                      <wps:txbx>
                        <w:txbxContent>
                          <w:p>
                            <w:pPr>
                              <w:pStyle w:val="81"/>
                              <w:spacing w:line="288" w:lineRule="auto"/>
                              <w:jc w:val="center"/>
                              <w:rPr>
                                <w:color w:val="005780"/>
                                <w:sz w:val="18"/>
                                <w:szCs w:val="18"/>
                              </w:rPr>
                            </w:pPr>
                            <w:r>
                              <w:rPr>
                                <w:rFonts w:hint="eastAsia" w:ascii="微软雅黑" w:hAnsi="微软雅黑" w:eastAsia="微软雅黑" w:cs="Arial"/>
                                <w:b/>
                                <w:bCs/>
                                <w:color w:val="005780"/>
                                <w:kern w:val="24"/>
                                <w:sz w:val="52"/>
                                <w:szCs w:val="52"/>
                              </w:rPr>
                              <w:t>进德修业</w:t>
                            </w:r>
                            <w:r>
                              <w:rPr>
                                <w:rFonts w:ascii="微软雅黑" w:hAnsi="微软雅黑" w:eastAsia="微软雅黑" w:cs="Arial"/>
                                <w:b/>
                                <w:bCs/>
                                <w:color w:val="005780"/>
                                <w:kern w:val="24"/>
                                <w:sz w:val="52"/>
                                <w:szCs w:val="52"/>
                              </w:rPr>
                              <w:t xml:space="preserve"> </w:t>
                            </w:r>
                            <w:r>
                              <w:rPr>
                                <w:rFonts w:hint="eastAsia" w:ascii="微软雅黑" w:hAnsi="微软雅黑" w:eastAsia="微软雅黑" w:cs="Arial"/>
                                <w:b/>
                                <w:bCs/>
                                <w:color w:val="005780"/>
                                <w:kern w:val="24"/>
                                <w:sz w:val="52"/>
                                <w:szCs w:val="52"/>
                              </w:rPr>
                              <w:t>继承创新</w:t>
                            </w:r>
                          </w:p>
                        </w:txbxContent>
                      </wps:txbx>
                      <wps:bodyPr rot="0" vert="horz" wrap="square" lIns="91440" tIns="45720" rIns="91440" bIns="45720" anchor="t" anchorCtr="0">
                        <a:noAutofit/>
                      </wps:bodyPr>
                    </wps:wsp>
                  </a:graphicData>
                </a:graphic>
              </wp:anchor>
            </w:drawing>
          </mc:Choice>
          <mc:Fallback>
            <w:pict>
              <v:shape id="Rectangle 4" o:spid="_x0000_s1026" o:spt="202" type="#_x0000_t202" style="position:absolute;left:0pt;margin-left:14.55pt;margin-top:230.75pt;height:67.45pt;width:416.2pt;mso-position-horizontal-relative:margin;z-index:251700224;mso-width-relative:page;mso-height-relative:page;" filled="f" stroked="f" coordsize="21600,21600" o:gfxdata="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&#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lLPUdcAAAAKAQAADwAAAAAAAAABACAAAAAiAAAA&#10;ZHJzL2Rvd25yZXYueG1sUEsBAhQAFAAAAAgAh07iQDuCVywIAgAAEQQAAA4AAAAAAAAAAQAgAAAA&#10;JgEAAGRycy9lMm9Eb2MueG1sUEsFBgAAAAAGAAYAWQEAAKAFAAAAAA==&#10;">
                <v:fill on="f" focussize="0,0"/>
                <v:stroke on="f"/>
                <v:imagedata o:title=""/>
                <o:lock v:ext="edit" aspectratio="f"/>
                <v:textbox>
                  <w:txbxContent>
                    <w:p>
                      <w:pPr>
                        <w:pStyle w:val="81"/>
                        <w:spacing w:line="288" w:lineRule="auto"/>
                        <w:jc w:val="center"/>
                        <w:rPr>
                          <w:color w:val="005780"/>
                          <w:sz w:val="18"/>
                          <w:szCs w:val="18"/>
                        </w:rPr>
                      </w:pPr>
                      <w:r>
                        <w:rPr>
                          <w:rFonts w:hint="eastAsia" w:ascii="微软雅黑" w:hAnsi="微软雅黑" w:eastAsia="微软雅黑" w:cs="Arial"/>
                          <w:b/>
                          <w:bCs/>
                          <w:color w:val="005780"/>
                          <w:kern w:val="24"/>
                          <w:sz w:val="52"/>
                          <w:szCs w:val="52"/>
                        </w:rPr>
                        <w:t>进德修业</w:t>
                      </w:r>
                      <w:r>
                        <w:rPr>
                          <w:rFonts w:ascii="微软雅黑" w:hAnsi="微软雅黑" w:eastAsia="微软雅黑" w:cs="Arial"/>
                          <w:b/>
                          <w:bCs/>
                          <w:color w:val="005780"/>
                          <w:kern w:val="24"/>
                          <w:sz w:val="52"/>
                          <w:szCs w:val="52"/>
                        </w:rPr>
                        <w:t xml:space="preserve"> </w:t>
                      </w:r>
                      <w:r>
                        <w:rPr>
                          <w:rFonts w:hint="eastAsia" w:ascii="微软雅黑" w:hAnsi="微软雅黑" w:eastAsia="微软雅黑" w:cs="Arial"/>
                          <w:b/>
                          <w:bCs/>
                          <w:color w:val="005780"/>
                          <w:kern w:val="24"/>
                          <w:sz w:val="52"/>
                          <w:szCs w:val="52"/>
                        </w:rPr>
                        <w:t>继承创新</w:t>
                      </w:r>
                    </w:p>
                  </w:txbxContent>
                </v:textbox>
              </v:shape>
            </w:pict>
          </mc:Fallback>
        </mc:AlternateContent>
      </w:r>
      <w:bookmarkStart w:id="104" w:name="backCover1"/>
      <w:r>
        <mc:AlternateContent>
          <mc:Choice Requires="wps">
            <w:drawing>
              <wp:anchor distT="0" distB="0" distL="114300" distR="114300" simplePos="0" relativeHeight="251699200" behindDoc="0" locked="0" layoutInCell="1" allowOverlap="1">
                <wp:simplePos x="0" y="0"/>
                <wp:positionH relativeFrom="page">
                  <wp:posOffset>748665</wp:posOffset>
                </wp:positionH>
                <wp:positionV relativeFrom="page">
                  <wp:posOffset>3168015</wp:posOffset>
                </wp:positionV>
                <wp:extent cx="6120130" cy="1440180"/>
                <wp:effectExtent l="0" t="0" r="0" b="1905"/>
                <wp:wrapNone/>
                <wp:docPr id="2043642362" name="TextBox 100237"/>
                <wp:cNvGraphicFramePr/>
                <a:graphic xmlns:a="http://schemas.openxmlformats.org/drawingml/2006/main">
                  <a:graphicData uri="http://schemas.microsoft.com/office/word/2010/wordprocessingShape">
                    <wps:wsp>
                      <wps:cNvSpPr txBox="1">
                        <a:spLocks noChangeArrowheads="1"/>
                      </wps:cNvSpPr>
                      <wps:spPr bwMode="auto">
                        <a:xfrm>
                          <a:off x="0" y="0"/>
                          <a:ext cx="6120130" cy="1440180"/>
                        </a:xfrm>
                        <a:prstGeom prst="rect">
                          <a:avLst/>
                        </a:prstGeom>
                        <a:noFill/>
                        <a:ln>
                          <a:noFill/>
                        </a:ln>
                      </wps:spPr>
                      <wps:txbx>
                        <w:txbxContent>
                          <w:p>
                            <w:pPr>
                              <w:jc w:val="center"/>
                              <w:rPr>
                                <w:rFonts w:ascii="微软雅黑" w:hAnsi="微软雅黑" w:eastAsia="微软雅黑" w:cs="微软雅黑"/>
                                <w:b/>
                                <w:color w:val="006699"/>
                                <w:sz w:val="96"/>
                              </w:rPr>
                            </w:pPr>
                            <w:r>
                              <w:rPr>
                                <w:rFonts w:ascii="微软雅黑" w:hAnsi="微软雅黑" w:eastAsia="微软雅黑" w:cs="微软雅黑"/>
                                <w:b/>
                                <w:color w:val="006699"/>
                                <w:sz w:val="96"/>
                              </w:rPr>
                              <w:t>天津中医药大学</w:t>
                            </w:r>
                          </w:p>
                        </w:txbxContent>
                      </wps:txbx>
                      <wps:bodyPr rot="0" vert="horz" wrap="square" lIns="91440" tIns="45720" rIns="91440" bIns="45720" anchor="t" anchorCtr="0" upright="1">
                        <a:noAutofit/>
                      </wps:bodyPr>
                    </wps:wsp>
                  </a:graphicData>
                </a:graphic>
              </wp:anchor>
            </w:drawing>
          </mc:Choice>
          <mc:Fallback>
            <w:pict>
              <v:shape id="TextBox 100237" o:spid="_x0000_s1026" o:spt="202" type="#_x0000_t202" style="position:absolute;left:0pt;margin-left:58.95pt;margin-top:249.45pt;height:113.4pt;width:481.9pt;mso-position-horizontal-relative:page;mso-position-vertical-relative:page;z-index:251699200;mso-width-relative:page;mso-height-relative:page;" filled="f" stroked="f" coordsize="21600,21600" o:gfxdata="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9tRF2AAAAAwBAAAPAAAAAAAA&#10;AAEAIAAAACIAAABkcnMvZG93bnJldi54bWxQSwECFAAUAAAACACHTuJA1vPxshICAAAiBAAADgAA&#10;AAAAAAABACAAAAAnAQAAZHJzL2Uyb0RvYy54bWxQSwUGAAAAAAYABgBZAQAAqwUAAAAA&#10;">
                <v:fill on="f" focussize="0,0"/>
                <v:stroke on="f"/>
                <v:imagedata o:title=""/>
                <o:lock v:ext="edit" aspectratio="f"/>
                <v:textbox>
                  <w:txbxContent>
                    <w:p>
                      <w:pPr>
                        <w:jc w:val="center"/>
                        <w:rPr>
                          <w:rFonts w:ascii="微软雅黑" w:hAnsi="微软雅黑" w:eastAsia="微软雅黑" w:cs="微软雅黑"/>
                          <w:b/>
                          <w:color w:val="006699"/>
                          <w:sz w:val="96"/>
                        </w:rPr>
                      </w:pPr>
                      <w:r>
                        <w:rPr>
                          <w:rFonts w:ascii="微软雅黑" w:hAnsi="微软雅黑" w:eastAsia="微软雅黑" w:cs="微软雅黑"/>
                          <w:b/>
                          <w:color w:val="006699"/>
                          <w:sz w:val="96"/>
                        </w:rPr>
                        <w:t>天津中医药大学</w:t>
                      </w:r>
                    </w:p>
                  </w:txbxContent>
                </v:textbox>
              </v:shape>
            </w:pict>
          </mc:Fallback>
        </mc:AlternateContent>
      </w:r>
      <w:bookmarkEnd w:id="104"/>
    </w:p>
    <w:sectPr>
      <w:footnotePr>
        <w:numRestart w:val="eachPage"/>
      </w:footnotePr>
      <w:pgSz w:w="11906" w:h="16838"/>
      <w:pgMar w:top="1984" w:right="1531" w:bottom="1701" w:left="1701" w:header="992" w:footer="85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宋体-方正超大字符集">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cs="宋体"/>
        <w:color w:val="00000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pPr>
      <w:r>
        <w:separator/>
      </w:r>
    </w:p>
  </w:footnote>
  <w:footnote w:type="continuationSeparator" w:id="3">
    <w:p>
      <w:pPr>
        <w:spacing w:line="360" w:lineRule="auto"/>
      </w:pPr>
      <w:r>
        <w:continuationSeparator/>
      </w:r>
    </w:p>
  </w:footnote>
  <w:footnote w:id="0">
    <w:p>
      <w:pPr>
        <w:pStyle w:val="67"/>
      </w:pPr>
      <w:r>
        <w:rPr>
          <w:rStyle w:val="99"/>
        </w:rPr>
        <w:footnoteRef/>
      </w:r>
      <w:r>
        <w:t xml:space="preserve"> </w:t>
      </w:r>
      <w:r>
        <w:rPr>
          <w:b/>
          <w:bCs/>
          <w:lang w:val="en-US" w:eastAsia="zh-CN" w:bidi="ar-SA"/>
        </w:rPr>
        <w:t>增值情况：</w:t>
      </w:r>
      <w:r>
        <w:rPr>
          <w:lang w:val="en-US" w:eastAsia="zh-CN" w:bidi="ar-SA"/>
        </w:rPr>
        <w:t>毕业生对各项通用能力的提升情况做出评价，选项包括：</w:t>
      </w:r>
      <w:r>
        <w:rPr>
          <w:rFonts w:ascii="宋体" w:hAnsi="宋体" w:cs="宋体"/>
          <w:lang w:val="en-US" w:eastAsia="zh-CN" w:bidi="ar-SA"/>
        </w:rPr>
        <w:t>“</w:t>
      </w:r>
      <w:r>
        <w:rPr>
          <w:lang w:val="en-US" w:eastAsia="zh-CN" w:bidi="ar-SA"/>
        </w:rPr>
        <w:t>提升较多</w:t>
      </w:r>
      <w:r>
        <w:rPr>
          <w:rFonts w:ascii="宋体" w:hAnsi="宋体" w:cs="宋体"/>
          <w:lang w:val="en-US" w:eastAsia="zh-CN" w:bidi="ar-SA"/>
        </w:rPr>
        <w:t>”</w:t>
      </w:r>
      <w:r>
        <w:rPr>
          <w:lang w:val="en-US" w:eastAsia="zh-CN" w:bidi="ar-SA"/>
        </w:rPr>
        <w:t>、</w:t>
      </w:r>
      <w:r>
        <w:rPr>
          <w:rFonts w:ascii="宋体" w:hAnsi="宋体" w:cs="宋体"/>
          <w:lang w:val="en-US" w:eastAsia="zh-CN" w:bidi="ar-SA"/>
        </w:rPr>
        <w:t>“</w:t>
      </w:r>
      <w:r>
        <w:rPr>
          <w:lang w:val="en-US" w:eastAsia="zh-CN" w:bidi="ar-SA"/>
        </w:rPr>
        <w:t>有所提升</w:t>
      </w:r>
      <w:r>
        <w:rPr>
          <w:rFonts w:ascii="宋体" w:hAnsi="宋体" w:cs="宋体"/>
          <w:lang w:val="en-US" w:eastAsia="zh-CN" w:bidi="ar-SA"/>
        </w:rPr>
        <w:t>”</w:t>
      </w:r>
      <w:r>
        <w:rPr>
          <w:lang w:val="en-US" w:eastAsia="zh-CN" w:bidi="ar-SA"/>
        </w:rPr>
        <w:t>、</w:t>
      </w:r>
      <w:r>
        <w:rPr>
          <w:rFonts w:ascii="宋体" w:hAnsi="宋体" w:cs="宋体"/>
          <w:lang w:val="en-US" w:eastAsia="zh-CN" w:bidi="ar-SA"/>
        </w:rPr>
        <w:t>“</w:t>
      </w:r>
      <w:r>
        <w:rPr>
          <w:lang w:val="en-US" w:eastAsia="zh-CN" w:bidi="ar-SA"/>
        </w:rPr>
        <w:t>提升较少</w:t>
      </w:r>
      <w:r>
        <w:rPr>
          <w:rFonts w:ascii="宋体" w:hAnsi="宋体" w:cs="宋体"/>
          <w:lang w:val="en-US" w:eastAsia="zh-CN" w:bidi="ar-SA"/>
        </w:rPr>
        <w:t>”</w:t>
      </w:r>
      <w:r>
        <w:rPr>
          <w:lang w:val="en-US" w:eastAsia="zh-CN" w:bidi="ar-SA"/>
        </w:rPr>
        <w:t>、</w:t>
      </w:r>
      <w:r>
        <w:rPr>
          <w:rFonts w:ascii="宋体" w:hAnsi="宋体" w:cs="宋体"/>
          <w:lang w:val="en-US" w:eastAsia="zh-CN" w:bidi="ar-SA"/>
        </w:rPr>
        <w:t>“</w:t>
      </w:r>
      <w:r>
        <w:rPr>
          <w:lang w:val="en-US" w:eastAsia="zh-CN" w:bidi="ar-SA"/>
        </w:rPr>
        <w:t>没有提升</w:t>
      </w:r>
      <w:r>
        <w:rPr>
          <w:rFonts w:ascii="宋体" w:hAnsi="宋体" w:cs="宋体"/>
          <w:lang w:val="en-US" w:eastAsia="zh-CN" w:bidi="ar-SA"/>
        </w:rPr>
        <w:t>”</w:t>
      </w:r>
      <w:r>
        <w:rPr>
          <w:lang w:val="en-US" w:eastAsia="zh-CN" w:bidi="ar-SA"/>
        </w:rPr>
        <w:t>。此处增值情况为</w:t>
      </w:r>
      <w:r>
        <w:rPr>
          <w:rFonts w:ascii="宋体" w:hAnsi="宋体" w:cs="宋体"/>
          <w:lang w:val="en-US" w:eastAsia="zh-CN" w:bidi="ar-SA"/>
        </w:rPr>
        <w:t>“</w:t>
      </w:r>
      <w:r>
        <w:rPr>
          <w:lang w:val="en-US" w:eastAsia="zh-CN" w:bidi="ar-SA"/>
        </w:rPr>
        <w:t>提升较多</w:t>
      </w:r>
      <w:r>
        <w:rPr>
          <w:rFonts w:ascii="宋体" w:hAnsi="宋体" w:cs="宋体"/>
          <w:lang w:val="en-US" w:eastAsia="zh-CN" w:bidi="ar-SA"/>
        </w:rPr>
        <w:t>”</w:t>
      </w:r>
      <w:r>
        <w:rPr>
          <w:lang w:val="en-US" w:eastAsia="zh-CN" w:bidi="ar-SA"/>
        </w:rPr>
        <w:t>和</w:t>
      </w:r>
      <w:r>
        <w:rPr>
          <w:rFonts w:ascii="宋体" w:hAnsi="宋体" w:cs="宋体"/>
          <w:lang w:val="en-US" w:eastAsia="zh-CN" w:bidi="ar-SA"/>
        </w:rPr>
        <w:t>“</w:t>
      </w:r>
      <w:r>
        <w:rPr>
          <w:lang w:val="en-US" w:eastAsia="zh-CN" w:bidi="ar-SA"/>
        </w:rPr>
        <w:t>有所提升</w:t>
      </w:r>
      <w:r>
        <w:rPr>
          <w:rFonts w:ascii="宋体" w:hAnsi="宋体" w:cs="宋体"/>
          <w:lang w:val="en-US" w:eastAsia="zh-CN" w:bidi="ar-SA"/>
        </w:rPr>
        <w:t>”</w:t>
      </w:r>
      <w:r>
        <w:rPr>
          <w:lang w:val="en-US" w:eastAsia="zh-CN" w:bidi="ar-SA"/>
        </w:rPr>
        <w:t>的比例之和。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cs="宋体"/>
        <w:color w:val="559FBB"/>
      </w:rPr>
    </w:pPr>
    <w:r>
      <w:drawing>
        <wp:anchor distT="0" distB="0" distL="114300" distR="114300" simplePos="0" relativeHeight="251685888" behindDoc="1" locked="0" layoutInCell="1" allowOverlap="1">
          <wp:simplePos x="0" y="0"/>
          <wp:positionH relativeFrom="page">
            <wp:posOffset>5187950</wp:posOffset>
          </wp:positionH>
          <wp:positionV relativeFrom="page">
            <wp:posOffset>-369570</wp:posOffset>
          </wp:positionV>
          <wp:extent cx="2376170" cy="1663065"/>
          <wp:effectExtent l="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76170" cy="1663065"/>
                  </a:xfrm>
                  <a:prstGeom prst="rect">
                    <a:avLst/>
                  </a:prstGeom>
                  <a:noFill/>
                </pic:spPr>
              </pic:pic>
            </a:graphicData>
          </a:graphic>
        </wp:anchor>
      </w:drawing>
    </w:r>
    <w:r>
      <w:drawing>
        <wp:anchor distT="0" distB="0" distL="114300" distR="114300" simplePos="0" relativeHeight="251684864" behindDoc="1" locked="0" layoutInCell="1" allowOverlap="1">
          <wp:simplePos x="0" y="0"/>
          <wp:positionH relativeFrom="page">
            <wp:posOffset>-114935</wp:posOffset>
          </wp:positionH>
          <wp:positionV relativeFrom="page">
            <wp:posOffset>-414020</wp:posOffset>
          </wp:positionV>
          <wp:extent cx="1313815" cy="1397000"/>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13815" cy="1397000"/>
                  </a:xfrm>
                  <a:prstGeom prst="rect">
                    <a:avLst/>
                  </a:prstGeom>
                  <a:noFill/>
                </pic:spPr>
              </pic:pic>
            </a:graphicData>
          </a:graphic>
        </wp:anchor>
      </w:drawing>
    </w:r>
    <w:r>
      <w:rPr>
        <w:rFonts w:cs="宋体"/>
        <w:color w:val="559FBB"/>
      </w:rPr>
      <w:t>2023年</w:t>
    </w:r>
    <w:r>
      <w:rPr>
        <w:rFonts w:hint="eastAsia" w:cs="宋体"/>
        <w:color w:val="559FBB"/>
      </w:rPr>
      <w:t>本科</w:t>
    </w:r>
    <w:r>
      <w:rPr>
        <w:rFonts w:cs="宋体"/>
        <w:color w:val="559FBB"/>
      </w:rPr>
      <w:t>毕业生就业质量年度报告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cs="宋体"/>
        <w:color w:val="559FBB"/>
      </w:rPr>
    </w:pPr>
    <w:r>
      <w:drawing>
        <wp:anchor distT="0" distB="0" distL="114300" distR="114300" simplePos="0" relativeHeight="251683840" behindDoc="1" locked="0" layoutInCell="1" allowOverlap="1">
          <wp:simplePos x="0" y="0"/>
          <wp:positionH relativeFrom="page">
            <wp:posOffset>5184775</wp:posOffset>
          </wp:positionH>
          <wp:positionV relativeFrom="page">
            <wp:posOffset>-379095</wp:posOffset>
          </wp:positionV>
          <wp:extent cx="2376170" cy="1663065"/>
          <wp:effectExtent l="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376170" cy="1663065"/>
                  </a:xfrm>
                  <a:prstGeom prst="rect">
                    <a:avLst/>
                  </a:prstGeom>
                  <a:noFill/>
                </pic:spPr>
              </pic:pic>
            </a:graphicData>
          </a:graphic>
        </wp:anchor>
      </w:drawing>
    </w:r>
    <w:r>
      <w:drawing>
        <wp:anchor distT="0" distB="0" distL="114300" distR="114300" simplePos="0" relativeHeight="251682816" behindDoc="1" locked="0" layoutInCell="1" allowOverlap="1">
          <wp:simplePos x="0" y="0"/>
          <wp:positionH relativeFrom="page">
            <wp:posOffset>-114935</wp:posOffset>
          </wp:positionH>
          <wp:positionV relativeFrom="page">
            <wp:posOffset>-414020</wp:posOffset>
          </wp:positionV>
          <wp:extent cx="1313815" cy="1397000"/>
          <wp:effectExtent l="0" t="0" r="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313815" cy="1397000"/>
                  </a:xfrm>
                  <a:prstGeom prst="rect">
                    <a:avLst/>
                  </a:prstGeom>
                  <a:noFill/>
                </pic:spPr>
              </pic:pic>
            </a:graphicData>
          </a:graphic>
        </wp:anchor>
      </w:drawing>
    </w:r>
    <w:r>
      <w:rPr>
        <w:rFonts w:cs="宋体"/>
        <w:color w:val="559FBB"/>
      </w:rPr>
      <w:t>天津中医药大学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2">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hanging="360"/>
      </w:pPr>
      <w:rPr>
        <w:rFonts w:hint="default" w:ascii="宋体" w:hAnsi="宋体"/>
      </w:rPr>
    </w:lvl>
  </w:abstractNum>
  <w:abstractNum w:abstractNumId="4">
    <w:nsid w:val="FFFFFF81"/>
    <w:multiLevelType w:val="singleLevel"/>
    <w:tmpl w:val="FFFFFF81"/>
    <w:lvl w:ilvl="0" w:tentative="0">
      <w:start w:val="1"/>
      <w:numFmt w:val="bullet"/>
      <w:pStyle w:val="17"/>
      <w:lvlText w:val=""/>
      <w:lvlJc w:val="left"/>
      <w:pPr>
        <w:tabs>
          <w:tab w:val="left" w:pos="1620"/>
        </w:tabs>
        <w:ind w:left="1620" w:hanging="360"/>
      </w:pPr>
      <w:rPr>
        <w:rFonts w:hint="default" w:ascii="宋体" w:hAnsi="宋体"/>
      </w:rPr>
    </w:lvl>
  </w:abstractNum>
  <w:abstractNum w:abstractNumId="5">
    <w:nsid w:val="FFFFFF82"/>
    <w:multiLevelType w:val="singleLevel"/>
    <w:tmpl w:val="FFFFFF82"/>
    <w:lvl w:ilvl="0" w:tentative="0">
      <w:start w:val="1"/>
      <w:numFmt w:val="bullet"/>
      <w:pStyle w:val="33"/>
      <w:lvlText w:val=""/>
      <w:lvlJc w:val="left"/>
      <w:pPr>
        <w:tabs>
          <w:tab w:val="left" w:pos="1200"/>
        </w:tabs>
        <w:ind w:left="1200" w:hanging="360"/>
      </w:pPr>
      <w:rPr>
        <w:rFonts w:hint="default" w:ascii="宋体" w:hAnsi="宋体"/>
      </w:rPr>
    </w:lvl>
  </w:abstractNum>
  <w:abstractNum w:abstractNumId="6">
    <w:nsid w:val="FFFFFF83"/>
    <w:multiLevelType w:val="singleLevel"/>
    <w:tmpl w:val="FFFFFF83"/>
    <w:lvl w:ilvl="0" w:tentative="0">
      <w:start w:val="1"/>
      <w:numFmt w:val="bullet"/>
      <w:pStyle w:val="40"/>
      <w:lvlText w:val=""/>
      <w:lvlJc w:val="left"/>
      <w:pPr>
        <w:tabs>
          <w:tab w:val="left" w:pos="780"/>
        </w:tabs>
        <w:ind w:left="780" w:hanging="360"/>
      </w:pPr>
      <w:rPr>
        <w:rFonts w:hint="default" w:ascii="宋体" w:hAnsi="宋体"/>
      </w:rPr>
    </w:lvl>
  </w:abstractNum>
  <w:abstractNum w:abstractNumId="7">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4"/>
      <w:lvlText w:val=""/>
      <w:lvlJc w:val="left"/>
      <w:pPr>
        <w:tabs>
          <w:tab w:val="left" w:pos="360"/>
        </w:tabs>
        <w:ind w:left="360" w:hanging="360"/>
      </w:pPr>
      <w:rPr>
        <w:rFonts w:hint="default" w:ascii="宋体" w:hAnsi="宋体"/>
      </w:rPr>
    </w:lvl>
  </w:abstractNum>
  <w:abstractNum w:abstractNumId="9">
    <w:nsid w:val="2915500F"/>
    <w:multiLevelType w:val="multilevel"/>
    <w:tmpl w:val="2915500F"/>
    <w:lvl w:ilvl="0" w:tentative="0">
      <w:start w:val="1"/>
      <w:numFmt w:val="chineseCountingThousand"/>
      <w:pStyle w:val="117"/>
      <w:lvlText w:val="（%1）"/>
      <w:lvlJc w:val="left"/>
      <w:pPr>
        <w:tabs>
          <w:tab w:val="left" w:pos="0"/>
        </w:tabs>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7825DF6"/>
    <w:multiLevelType w:val="multilevel"/>
    <w:tmpl w:val="57825DF6"/>
    <w:lvl w:ilvl="0" w:tentative="0">
      <w:start w:val="1"/>
      <w:numFmt w:val="chineseCountingThousand"/>
      <w:pStyle w:val="118"/>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F8A084E"/>
    <w:multiLevelType w:val="multilevel"/>
    <w:tmpl w:val="5F8A084E"/>
    <w:lvl w:ilvl="0" w:tentative="0">
      <w:start w:val="1"/>
      <w:numFmt w:val="chineseCountingThousand"/>
      <w:lvlText w:val="第%1部分"/>
      <w:lvlJc w:val="left"/>
      <w:pPr>
        <w:tabs>
          <w:tab w:val="left" w:pos="720"/>
        </w:tabs>
        <w:ind w:left="720" w:hanging="360"/>
      </w:pPr>
      <w:rPr>
        <w:rFonts w:hint="eastAsia"/>
      </w:rPr>
    </w:lvl>
    <w:lvl w:ilvl="1" w:tentative="0">
      <w:start w:val="1"/>
      <w:numFmt w:val="chineseCountingThousand"/>
      <w:lvlRestart w:val="0"/>
      <w:lvlText w:val="第%2章"/>
      <w:lvlJc w:val="left"/>
      <w:pPr>
        <w:tabs>
          <w:tab w:val="left" w:pos="1440"/>
        </w:tabs>
        <w:ind w:left="1440" w:hanging="360"/>
      </w:pPr>
      <w:rPr>
        <w:rFonts w:hint="eastAsia"/>
      </w:rPr>
    </w:lvl>
    <w:lvl w:ilvl="2" w:tentative="0">
      <w:start w:val="1"/>
      <w:numFmt w:val="chineseCountingThousand"/>
      <w:lvlText w:val="%3"/>
      <w:lvlJc w:val="left"/>
      <w:pPr>
        <w:tabs>
          <w:tab w:val="left" w:pos="0"/>
        </w:tabs>
        <w:ind w:left="992" w:hanging="567"/>
      </w:pPr>
      <w:rPr>
        <w:rFonts w:hint="eastAsia"/>
      </w:rPr>
    </w:lvl>
    <w:lvl w:ilvl="3" w:tentative="0">
      <w:start w:val="1"/>
      <w:numFmt w:val="chineseCountingThousand"/>
      <w:lvlText w:val="（%4）"/>
      <w:lvlJc w:val="left"/>
      <w:pPr>
        <w:tabs>
          <w:tab w:val="left" w:pos="0"/>
        </w:tabs>
        <w:ind w:left="420" w:hanging="420"/>
      </w:pPr>
      <w:rPr>
        <w:rFonts w:hint="eastAsia"/>
      </w:rPr>
    </w:lvl>
    <w:lvl w:ilvl="4" w:tentative="0">
      <w:start w:val="1"/>
      <w:numFmt w:val="decimal"/>
      <w:lvlText w:val="%5."/>
      <w:lvlJc w:val="left"/>
      <w:pPr>
        <w:tabs>
          <w:tab w:val="left" w:pos="0"/>
        </w:tabs>
        <w:ind w:left="420" w:hanging="420"/>
      </w:pPr>
      <w:rPr>
        <w:rFonts w:hint="eastAsia"/>
      </w:rPr>
    </w:lvl>
    <w:lvl w:ilvl="5" w:tentative="0">
      <w:start w:val="1"/>
      <w:numFmt w:val="decimal"/>
      <w:lvlText w:val="%6)"/>
      <w:lvlJc w:val="left"/>
      <w:pPr>
        <w:tabs>
          <w:tab w:val="left" w:pos="0"/>
        </w:tabs>
        <w:ind w:left="420" w:hanging="420"/>
      </w:pPr>
      <w:rPr>
        <w:rFonts w:hint="eastAsia"/>
      </w:rPr>
    </w:lvl>
    <w:lvl w:ilvl="6" w:tentative="0">
      <w:start w:val="1"/>
      <w:numFmt w:val="decimal"/>
      <w:lvlRestart w:val="2"/>
      <w:isLgl/>
      <w:lvlText w:val="%2-%7"/>
      <w:lvlJc w:val="left"/>
      <w:pPr>
        <w:tabs>
          <w:tab w:val="left" w:pos="0"/>
        </w:tabs>
        <w:ind w:left="420" w:hanging="420"/>
      </w:pPr>
      <w:rPr>
        <w:rFonts w:hint="eastAsia"/>
      </w:rPr>
    </w:lvl>
    <w:lvl w:ilvl="7" w:tentative="0">
      <w:start w:val="1"/>
      <w:numFmt w:val="decimal"/>
      <w:lvlRestart w:val="2"/>
      <w:isLgl/>
      <w:lvlText w:val="图 %2-%8"/>
      <w:lvlJc w:val="left"/>
      <w:pPr>
        <w:tabs>
          <w:tab w:val="left" w:pos="0"/>
        </w:tabs>
        <w:ind w:left="839" w:hanging="419"/>
      </w:pPr>
      <w:rPr>
        <w:rFonts w:hint="eastAsia"/>
      </w:rPr>
    </w:lvl>
    <w:lvl w:ilvl="8" w:tentative="0">
      <w:start w:val="1"/>
      <w:numFmt w:val="decimal"/>
      <w:lvlText w:val="附表%9"/>
      <w:lvlJc w:val="left"/>
      <w:pPr>
        <w:ind w:left="440" w:hanging="440"/>
      </w:pPr>
      <w:rPr>
        <w:rFonts w:hint="eastAsia"/>
      </w:rPr>
    </w:lvl>
  </w:abstractNum>
  <w:abstractNum w:abstractNumId="12">
    <w:nsid w:val="7EF84974"/>
    <w:multiLevelType w:val="multilevel"/>
    <w:tmpl w:val="7EF84974"/>
    <w:lvl w:ilvl="0" w:tentative="0">
      <w:start w:val="1"/>
      <w:numFmt w:val="chineseCountingThousand"/>
      <w:lvlText w:val="第%1部分"/>
      <w:lvlJc w:val="left"/>
      <w:pPr>
        <w:tabs>
          <w:tab w:val="left" w:pos="720"/>
        </w:tabs>
        <w:ind w:left="720" w:hanging="360"/>
      </w:pPr>
    </w:lvl>
    <w:lvl w:ilvl="1" w:tentative="0">
      <w:start w:val="1"/>
      <w:numFmt w:val="chineseCountingThousand"/>
      <w:lvlRestart w:val="0"/>
      <w:lvlText w:val="第%2章"/>
      <w:lvlJc w:val="left"/>
      <w:pPr>
        <w:tabs>
          <w:tab w:val="left" w:pos="1440"/>
        </w:tabs>
        <w:ind w:left="1440" w:hanging="360"/>
      </w:pPr>
    </w:lvl>
    <w:lvl w:ilvl="2" w:tentative="0">
      <w:start w:val="1"/>
      <w:numFmt w:val="chineseCountingThousand"/>
      <w:lvlText w:val="%3"/>
      <w:lvlJc w:val="left"/>
      <w:pPr>
        <w:tabs>
          <w:tab w:val="left" w:pos="0"/>
        </w:tabs>
        <w:ind w:left="992" w:hanging="567"/>
      </w:pPr>
    </w:lvl>
    <w:lvl w:ilvl="3" w:tentative="0">
      <w:start w:val="1"/>
      <w:numFmt w:val="chineseCountingThousand"/>
      <w:lvlText w:val="（%4）"/>
      <w:lvlJc w:val="left"/>
      <w:pPr>
        <w:tabs>
          <w:tab w:val="left" w:pos="0"/>
        </w:tabs>
        <w:ind w:left="420" w:hanging="420"/>
      </w:pPr>
    </w:lvl>
    <w:lvl w:ilvl="4" w:tentative="0">
      <w:start w:val="1"/>
      <w:numFmt w:val="decimal"/>
      <w:lvlText w:val="%5."/>
      <w:lvlJc w:val="left"/>
      <w:pPr>
        <w:tabs>
          <w:tab w:val="left" w:pos="0"/>
        </w:tabs>
        <w:ind w:left="420" w:hanging="420"/>
      </w:pPr>
    </w:lvl>
    <w:lvl w:ilvl="5" w:tentative="0">
      <w:start w:val="1"/>
      <w:numFmt w:val="decimal"/>
      <w:lvlText w:val="%6)"/>
      <w:lvlJc w:val="left"/>
      <w:pPr>
        <w:tabs>
          <w:tab w:val="left" w:pos="0"/>
        </w:tabs>
        <w:ind w:left="420" w:hanging="420"/>
      </w:pPr>
    </w:lvl>
    <w:lvl w:ilvl="6" w:tentative="0">
      <w:start w:val="1"/>
      <w:numFmt w:val="decimal"/>
      <w:lvlRestart w:val="2"/>
      <w:isLgl/>
      <w:lvlText w:val="%2-%7"/>
      <w:lvlJc w:val="left"/>
      <w:pPr>
        <w:tabs>
          <w:tab w:val="left" w:pos="0"/>
        </w:tabs>
        <w:ind w:left="420" w:hanging="420"/>
      </w:pPr>
    </w:lvl>
    <w:lvl w:ilvl="7" w:tentative="0">
      <w:start w:val="1"/>
      <w:numFmt w:val="decimal"/>
      <w:lvlRestart w:val="2"/>
      <w:isLgl/>
      <w:lvlText w:val="图 %2-%8"/>
      <w:lvlJc w:val="left"/>
      <w:pPr>
        <w:tabs>
          <w:tab w:val="left" w:pos="0"/>
        </w:tabs>
        <w:ind w:left="839" w:hanging="419"/>
      </w:pPr>
    </w:lvl>
    <w:lvl w:ilvl="8" w:tentative="0">
      <w:start w:val="1"/>
      <w:numFmt w:val="decimal"/>
      <w:lvlRestart w:val="2"/>
      <w:isLgl/>
      <w:lvlText w:val="表 %2-%9"/>
      <w:lvlJc w:val="left"/>
      <w:pPr>
        <w:tabs>
          <w:tab w:val="left" w:pos="0"/>
        </w:tabs>
        <w:ind w:left="420" w:hanging="420"/>
      </w:pPr>
    </w:lvl>
  </w:abstractNum>
  <w:abstractNum w:abstractNumId="13">
    <w:nsid w:val="7EF84975"/>
    <w:multiLevelType w:val="multilevel"/>
    <w:tmpl w:val="7EF84975"/>
    <w:lvl w:ilvl="0" w:tentative="0">
      <w:start w:val="1"/>
      <w:numFmt w:val="chineseCountingThousand"/>
      <w:lvlText w:val="第%1部分"/>
      <w:lvlJc w:val="left"/>
      <w:pPr>
        <w:tabs>
          <w:tab w:val="left" w:pos="720"/>
        </w:tabs>
        <w:ind w:left="720" w:hanging="360"/>
      </w:pPr>
    </w:lvl>
    <w:lvl w:ilvl="1" w:tentative="0">
      <w:start w:val="1"/>
      <w:numFmt w:val="chineseCountingThousand"/>
      <w:lvlRestart w:val="0"/>
      <w:lvlText w:val="第%2章"/>
      <w:lvlJc w:val="left"/>
      <w:pPr>
        <w:tabs>
          <w:tab w:val="left" w:pos="1440"/>
        </w:tabs>
        <w:ind w:left="1440" w:hanging="360"/>
      </w:pPr>
    </w:lvl>
    <w:lvl w:ilvl="2" w:tentative="0">
      <w:start w:val="1"/>
      <w:numFmt w:val="chineseCountingThousand"/>
      <w:lvlText w:val="%3"/>
      <w:lvlJc w:val="left"/>
      <w:pPr>
        <w:tabs>
          <w:tab w:val="left" w:pos="0"/>
        </w:tabs>
        <w:ind w:left="992" w:hanging="567"/>
      </w:pPr>
    </w:lvl>
    <w:lvl w:ilvl="3" w:tentative="0">
      <w:start w:val="1"/>
      <w:numFmt w:val="chineseCountingThousand"/>
      <w:lvlText w:val="（%4）"/>
      <w:lvlJc w:val="left"/>
      <w:pPr>
        <w:tabs>
          <w:tab w:val="left" w:pos="0"/>
        </w:tabs>
        <w:ind w:left="420" w:hanging="420"/>
      </w:pPr>
    </w:lvl>
    <w:lvl w:ilvl="4" w:tentative="0">
      <w:start w:val="1"/>
      <w:numFmt w:val="decimal"/>
      <w:lvlText w:val="%5."/>
      <w:lvlJc w:val="left"/>
      <w:pPr>
        <w:tabs>
          <w:tab w:val="left" w:pos="0"/>
        </w:tabs>
        <w:ind w:left="420" w:hanging="420"/>
      </w:pPr>
    </w:lvl>
    <w:lvl w:ilvl="5" w:tentative="0">
      <w:start w:val="1"/>
      <w:numFmt w:val="decimal"/>
      <w:lvlText w:val="%6)"/>
      <w:lvlJc w:val="left"/>
      <w:pPr>
        <w:tabs>
          <w:tab w:val="left" w:pos="0"/>
        </w:tabs>
        <w:ind w:left="420" w:hanging="420"/>
      </w:pPr>
    </w:lvl>
    <w:lvl w:ilvl="6" w:tentative="0">
      <w:start w:val="1"/>
      <w:numFmt w:val="decimal"/>
      <w:lvlRestart w:val="2"/>
      <w:isLgl/>
      <w:lvlText w:val="%2-%7"/>
      <w:lvlJc w:val="left"/>
      <w:pPr>
        <w:tabs>
          <w:tab w:val="left" w:pos="0"/>
        </w:tabs>
        <w:ind w:left="420" w:hanging="420"/>
      </w:pPr>
    </w:lvl>
    <w:lvl w:ilvl="7" w:tentative="0">
      <w:start w:val="1"/>
      <w:numFmt w:val="decimal"/>
      <w:lvlRestart w:val="2"/>
      <w:isLgl/>
      <w:lvlText w:val="图 %2-%8"/>
      <w:lvlJc w:val="left"/>
      <w:pPr>
        <w:tabs>
          <w:tab w:val="left" w:pos="0"/>
        </w:tabs>
        <w:ind w:left="839" w:hanging="419"/>
      </w:pPr>
    </w:lvl>
    <w:lvl w:ilvl="8" w:tentative="0">
      <w:start w:val="1"/>
      <w:numFmt w:val="decimal"/>
      <w:lvlText w:val="表 1-%9"/>
      <w:lvlJc w:val="left"/>
      <w:pPr>
        <w:ind w:left="440" w:hanging="440"/>
      </w:pPr>
      <w:rPr>
        <w:rFonts w:hint="eastAsia"/>
      </w:rPr>
    </w:lvl>
  </w:abstractNum>
  <w:abstractNum w:abstractNumId="14">
    <w:nsid w:val="7EF84979"/>
    <w:multiLevelType w:val="multilevel"/>
    <w:tmpl w:val="7EF84979"/>
    <w:lvl w:ilvl="0" w:tentative="0">
      <w:start w:val="1"/>
      <w:numFmt w:val="chineseCountingThousand"/>
      <w:lvlText w:val="第%1部分"/>
      <w:lvlJc w:val="left"/>
      <w:pPr>
        <w:tabs>
          <w:tab w:val="left" w:pos="720"/>
        </w:tabs>
        <w:ind w:left="720" w:hanging="360"/>
      </w:pPr>
    </w:lvl>
    <w:lvl w:ilvl="1" w:tentative="0">
      <w:start w:val="5"/>
      <w:numFmt w:val="chineseCountingThousand"/>
      <w:lvlRestart w:val="0"/>
      <w:lvlText w:val="第%2章"/>
      <w:lvlJc w:val="left"/>
      <w:pPr>
        <w:tabs>
          <w:tab w:val="left" w:pos="1440"/>
        </w:tabs>
        <w:ind w:left="1440" w:hanging="360"/>
      </w:pPr>
    </w:lvl>
    <w:lvl w:ilvl="2" w:tentative="0">
      <w:start w:val="1"/>
      <w:numFmt w:val="chineseCountingThousand"/>
      <w:lvlText w:val="%3"/>
      <w:lvlJc w:val="left"/>
      <w:pPr>
        <w:tabs>
          <w:tab w:val="left" w:pos="0"/>
        </w:tabs>
        <w:ind w:left="992" w:hanging="567"/>
      </w:pPr>
    </w:lvl>
    <w:lvl w:ilvl="3" w:tentative="0">
      <w:start w:val="1"/>
      <w:numFmt w:val="chineseCountingThousand"/>
      <w:lvlText w:val="（%4）"/>
      <w:lvlJc w:val="left"/>
      <w:pPr>
        <w:tabs>
          <w:tab w:val="left" w:pos="0"/>
        </w:tabs>
        <w:ind w:left="420" w:hanging="420"/>
      </w:pPr>
    </w:lvl>
    <w:lvl w:ilvl="4" w:tentative="0">
      <w:start w:val="1"/>
      <w:numFmt w:val="decimal"/>
      <w:lvlText w:val="%5."/>
      <w:lvlJc w:val="left"/>
      <w:pPr>
        <w:tabs>
          <w:tab w:val="left" w:pos="0"/>
        </w:tabs>
        <w:ind w:left="420" w:hanging="420"/>
      </w:pPr>
    </w:lvl>
    <w:lvl w:ilvl="5" w:tentative="0">
      <w:start w:val="1"/>
      <w:numFmt w:val="decimal"/>
      <w:lvlText w:val="%6)"/>
      <w:lvlJc w:val="left"/>
      <w:pPr>
        <w:tabs>
          <w:tab w:val="left" w:pos="0"/>
        </w:tabs>
        <w:ind w:left="420" w:hanging="420"/>
      </w:pPr>
    </w:lvl>
    <w:lvl w:ilvl="6" w:tentative="0">
      <w:start w:val="1"/>
      <w:numFmt w:val="decimal"/>
      <w:lvlRestart w:val="2"/>
      <w:isLgl/>
      <w:lvlText w:val="%2-%7"/>
      <w:lvlJc w:val="left"/>
      <w:pPr>
        <w:tabs>
          <w:tab w:val="left" w:pos="0"/>
        </w:tabs>
        <w:ind w:left="420" w:hanging="420"/>
      </w:pPr>
    </w:lvl>
    <w:lvl w:ilvl="7" w:tentative="0">
      <w:start w:val="1"/>
      <w:numFmt w:val="decimal"/>
      <w:lvlRestart w:val="2"/>
      <w:isLgl/>
      <w:lvlText w:val="图 %2-%8"/>
      <w:lvlJc w:val="left"/>
      <w:pPr>
        <w:tabs>
          <w:tab w:val="left" w:pos="0"/>
        </w:tabs>
        <w:ind w:left="839" w:hanging="419"/>
      </w:pPr>
    </w:lvl>
    <w:lvl w:ilvl="8" w:tentative="0">
      <w:start w:val="1"/>
      <w:numFmt w:val="decimal"/>
      <w:lvlText w:val="表 4-%9"/>
      <w:lvlJc w:val="left"/>
      <w:pPr>
        <w:ind w:left="440" w:hanging="440"/>
      </w:pPr>
      <w:rPr>
        <w:rFonts w:hint="eastAsia"/>
      </w:rPr>
    </w:lvl>
  </w:abstractNum>
  <w:num w:numId="1">
    <w:abstractNumId w:val="2"/>
  </w:num>
  <w:num w:numId="2">
    <w:abstractNumId w:val="4"/>
  </w:num>
  <w:num w:numId="3">
    <w:abstractNumId w:val="7"/>
  </w:num>
  <w:num w:numId="4">
    <w:abstractNumId w:val="8"/>
  </w:num>
  <w:num w:numId="5">
    <w:abstractNumId w:val="5"/>
  </w:num>
  <w:num w:numId="6">
    <w:abstractNumId w:val="1"/>
  </w:num>
  <w:num w:numId="7">
    <w:abstractNumId w:val="6"/>
  </w:num>
  <w:num w:numId="8">
    <w:abstractNumId w:val="3"/>
  </w:num>
  <w:num w:numId="9">
    <w:abstractNumId w:val="0"/>
  </w:num>
  <w:num w:numId="10">
    <w:abstractNumId w:val="9"/>
  </w:num>
  <w:num w:numId="11">
    <w:abstractNumId w:val="10"/>
  </w:num>
  <w:num w:numId="12">
    <w:abstractNumId w:val="12"/>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mirrorMargins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noPunctuationKerning w:val="1"/>
  <w:characterSpacingControl w:val="doNotCompress"/>
  <w:footnotePr>
    <w:numRestart w:val="eachPage"/>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jNzQ3NDliNzkyMjQ5OWUyMGVmOTRmYmJiMzk0ZWYifQ=="/>
  </w:docVars>
  <w:rsids>
    <w:rsidRoot w:val="00216016"/>
    <w:rsid w:val="00001AEC"/>
    <w:rsid w:val="000029C4"/>
    <w:rsid w:val="00002F19"/>
    <w:rsid w:val="00005D71"/>
    <w:rsid w:val="0000624F"/>
    <w:rsid w:val="00007145"/>
    <w:rsid w:val="000116B4"/>
    <w:rsid w:val="000132BD"/>
    <w:rsid w:val="000219E0"/>
    <w:rsid w:val="000231C3"/>
    <w:rsid w:val="000232EF"/>
    <w:rsid w:val="0002535D"/>
    <w:rsid w:val="00026D6D"/>
    <w:rsid w:val="00027273"/>
    <w:rsid w:val="00033F7E"/>
    <w:rsid w:val="0004370E"/>
    <w:rsid w:val="00043E2E"/>
    <w:rsid w:val="00047634"/>
    <w:rsid w:val="000509BA"/>
    <w:rsid w:val="00052902"/>
    <w:rsid w:val="00055D24"/>
    <w:rsid w:val="0005763D"/>
    <w:rsid w:val="00060124"/>
    <w:rsid w:val="00060925"/>
    <w:rsid w:val="00060B54"/>
    <w:rsid w:val="00061589"/>
    <w:rsid w:val="00064606"/>
    <w:rsid w:val="00065DFB"/>
    <w:rsid w:val="00066FE0"/>
    <w:rsid w:val="0007185D"/>
    <w:rsid w:val="00071AF5"/>
    <w:rsid w:val="000733A9"/>
    <w:rsid w:val="000776FA"/>
    <w:rsid w:val="00077778"/>
    <w:rsid w:val="00080F21"/>
    <w:rsid w:val="0008317B"/>
    <w:rsid w:val="00090CEE"/>
    <w:rsid w:val="000A1E7B"/>
    <w:rsid w:val="000A2DB5"/>
    <w:rsid w:val="000A4A11"/>
    <w:rsid w:val="000A7AD3"/>
    <w:rsid w:val="000B39A1"/>
    <w:rsid w:val="000B669D"/>
    <w:rsid w:val="000B7398"/>
    <w:rsid w:val="000C4AA5"/>
    <w:rsid w:val="000C68F3"/>
    <w:rsid w:val="000D3FCB"/>
    <w:rsid w:val="000D46E2"/>
    <w:rsid w:val="000D6358"/>
    <w:rsid w:val="000D6BDF"/>
    <w:rsid w:val="000D7BC1"/>
    <w:rsid w:val="000D7DEC"/>
    <w:rsid w:val="000E0862"/>
    <w:rsid w:val="000E1A42"/>
    <w:rsid w:val="000E28AE"/>
    <w:rsid w:val="000E3789"/>
    <w:rsid w:val="000E468D"/>
    <w:rsid w:val="000E7079"/>
    <w:rsid w:val="000F0F2D"/>
    <w:rsid w:val="0010085B"/>
    <w:rsid w:val="0010310C"/>
    <w:rsid w:val="00103EA0"/>
    <w:rsid w:val="0010620D"/>
    <w:rsid w:val="001101CE"/>
    <w:rsid w:val="00112016"/>
    <w:rsid w:val="00112218"/>
    <w:rsid w:val="00112C6C"/>
    <w:rsid w:val="00122E9B"/>
    <w:rsid w:val="0013061A"/>
    <w:rsid w:val="00130651"/>
    <w:rsid w:val="00130B52"/>
    <w:rsid w:val="00134C53"/>
    <w:rsid w:val="00141F6F"/>
    <w:rsid w:val="001431D5"/>
    <w:rsid w:val="00151F74"/>
    <w:rsid w:val="0015512F"/>
    <w:rsid w:val="00156ED2"/>
    <w:rsid w:val="00162787"/>
    <w:rsid w:val="00166C0F"/>
    <w:rsid w:val="0017124D"/>
    <w:rsid w:val="00174ACD"/>
    <w:rsid w:val="00175BCF"/>
    <w:rsid w:val="0017631F"/>
    <w:rsid w:val="001764C6"/>
    <w:rsid w:val="001775C4"/>
    <w:rsid w:val="001775E6"/>
    <w:rsid w:val="001804BC"/>
    <w:rsid w:val="00181842"/>
    <w:rsid w:val="00182E2A"/>
    <w:rsid w:val="00183D81"/>
    <w:rsid w:val="0018530F"/>
    <w:rsid w:val="00185975"/>
    <w:rsid w:val="00187D43"/>
    <w:rsid w:val="00191923"/>
    <w:rsid w:val="0019550F"/>
    <w:rsid w:val="001A20F8"/>
    <w:rsid w:val="001A3189"/>
    <w:rsid w:val="001A406B"/>
    <w:rsid w:val="001A540F"/>
    <w:rsid w:val="001A5BE7"/>
    <w:rsid w:val="001A6014"/>
    <w:rsid w:val="001A6A1D"/>
    <w:rsid w:val="001B0670"/>
    <w:rsid w:val="001B3846"/>
    <w:rsid w:val="001B4266"/>
    <w:rsid w:val="001B501C"/>
    <w:rsid w:val="001B6907"/>
    <w:rsid w:val="001C2655"/>
    <w:rsid w:val="001C547D"/>
    <w:rsid w:val="001C6A18"/>
    <w:rsid w:val="001D102D"/>
    <w:rsid w:val="001D2EE1"/>
    <w:rsid w:val="001D37DE"/>
    <w:rsid w:val="001D5596"/>
    <w:rsid w:val="001D77B3"/>
    <w:rsid w:val="001E032C"/>
    <w:rsid w:val="001E1201"/>
    <w:rsid w:val="001E2F2A"/>
    <w:rsid w:val="001E3FE6"/>
    <w:rsid w:val="001E67D9"/>
    <w:rsid w:val="001F0049"/>
    <w:rsid w:val="001F45D1"/>
    <w:rsid w:val="001F5493"/>
    <w:rsid w:val="001F7C24"/>
    <w:rsid w:val="002026B8"/>
    <w:rsid w:val="002030F6"/>
    <w:rsid w:val="0020650B"/>
    <w:rsid w:val="00207404"/>
    <w:rsid w:val="0021277A"/>
    <w:rsid w:val="00216016"/>
    <w:rsid w:val="00222407"/>
    <w:rsid w:val="00222E16"/>
    <w:rsid w:val="00222F9A"/>
    <w:rsid w:val="00223CF3"/>
    <w:rsid w:val="00227C7B"/>
    <w:rsid w:val="00232E7B"/>
    <w:rsid w:val="002400AA"/>
    <w:rsid w:val="002420C8"/>
    <w:rsid w:val="0024328D"/>
    <w:rsid w:val="00244A61"/>
    <w:rsid w:val="002457A3"/>
    <w:rsid w:val="00247DF5"/>
    <w:rsid w:val="00250110"/>
    <w:rsid w:val="002502A9"/>
    <w:rsid w:val="0025249C"/>
    <w:rsid w:val="002525F1"/>
    <w:rsid w:val="00252A97"/>
    <w:rsid w:val="00252F2C"/>
    <w:rsid w:val="00254DF7"/>
    <w:rsid w:val="00254F8F"/>
    <w:rsid w:val="00260573"/>
    <w:rsid w:val="002633F6"/>
    <w:rsid w:val="00265F75"/>
    <w:rsid w:val="0026641E"/>
    <w:rsid w:val="00267B27"/>
    <w:rsid w:val="00270C13"/>
    <w:rsid w:val="002712F4"/>
    <w:rsid w:val="00271402"/>
    <w:rsid w:val="002721A1"/>
    <w:rsid w:val="00274063"/>
    <w:rsid w:val="0027511D"/>
    <w:rsid w:val="0027639D"/>
    <w:rsid w:val="00276756"/>
    <w:rsid w:val="00276B6A"/>
    <w:rsid w:val="00280606"/>
    <w:rsid w:val="00283406"/>
    <w:rsid w:val="00283F54"/>
    <w:rsid w:val="00283FFD"/>
    <w:rsid w:val="002862D6"/>
    <w:rsid w:val="002879C8"/>
    <w:rsid w:val="00287C88"/>
    <w:rsid w:val="00290A39"/>
    <w:rsid w:val="00291E1A"/>
    <w:rsid w:val="00292358"/>
    <w:rsid w:val="002A3531"/>
    <w:rsid w:val="002A4438"/>
    <w:rsid w:val="002A460E"/>
    <w:rsid w:val="002B00A0"/>
    <w:rsid w:val="002B1804"/>
    <w:rsid w:val="002B3E9B"/>
    <w:rsid w:val="002B5BC1"/>
    <w:rsid w:val="002B72A7"/>
    <w:rsid w:val="002C20B5"/>
    <w:rsid w:val="002C31A8"/>
    <w:rsid w:val="002C45C7"/>
    <w:rsid w:val="002C4C5E"/>
    <w:rsid w:val="002C5129"/>
    <w:rsid w:val="002C5565"/>
    <w:rsid w:val="002C5FAC"/>
    <w:rsid w:val="002C729F"/>
    <w:rsid w:val="002C743F"/>
    <w:rsid w:val="002C7DFE"/>
    <w:rsid w:val="002D2980"/>
    <w:rsid w:val="002D4281"/>
    <w:rsid w:val="002D4710"/>
    <w:rsid w:val="002D6066"/>
    <w:rsid w:val="002D65C4"/>
    <w:rsid w:val="002D76CC"/>
    <w:rsid w:val="002E05AE"/>
    <w:rsid w:val="002E0789"/>
    <w:rsid w:val="002E656C"/>
    <w:rsid w:val="002E7AB5"/>
    <w:rsid w:val="002F2FC1"/>
    <w:rsid w:val="002F4DB9"/>
    <w:rsid w:val="002F5255"/>
    <w:rsid w:val="003025A1"/>
    <w:rsid w:val="00302E00"/>
    <w:rsid w:val="00303439"/>
    <w:rsid w:val="003041C3"/>
    <w:rsid w:val="003141D7"/>
    <w:rsid w:val="00315C1B"/>
    <w:rsid w:val="00316EE4"/>
    <w:rsid w:val="003171D4"/>
    <w:rsid w:val="00317B8A"/>
    <w:rsid w:val="00320F11"/>
    <w:rsid w:val="003235D9"/>
    <w:rsid w:val="00325361"/>
    <w:rsid w:val="00325AD7"/>
    <w:rsid w:val="003279A5"/>
    <w:rsid w:val="003308D2"/>
    <w:rsid w:val="00336849"/>
    <w:rsid w:val="00336E24"/>
    <w:rsid w:val="003408B9"/>
    <w:rsid w:val="003539D1"/>
    <w:rsid w:val="00354AA9"/>
    <w:rsid w:val="00355831"/>
    <w:rsid w:val="00361405"/>
    <w:rsid w:val="00362335"/>
    <w:rsid w:val="00362460"/>
    <w:rsid w:val="003647A1"/>
    <w:rsid w:val="0036605B"/>
    <w:rsid w:val="00366489"/>
    <w:rsid w:val="00373E22"/>
    <w:rsid w:val="00374CA7"/>
    <w:rsid w:val="00375A93"/>
    <w:rsid w:val="00375A98"/>
    <w:rsid w:val="00376969"/>
    <w:rsid w:val="003814D9"/>
    <w:rsid w:val="0038205A"/>
    <w:rsid w:val="0038260F"/>
    <w:rsid w:val="00382CF3"/>
    <w:rsid w:val="00383719"/>
    <w:rsid w:val="00385665"/>
    <w:rsid w:val="00390164"/>
    <w:rsid w:val="00391335"/>
    <w:rsid w:val="00392A61"/>
    <w:rsid w:val="00395646"/>
    <w:rsid w:val="003958FC"/>
    <w:rsid w:val="003A0252"/>
    <w:rsid w:val="003A4BB6"/>
    <w:rsid w:val="003A611A"/>
    <w:rsid w:val="003A6686"/>
    <w:rsid w:val="003A66AE"/>
    <w:rsid w:val="003A6C9C"/>
    <w:rsid w:val="003A7B07"/>
    <w:rsid w:val="003B2C72"/>
    <w:rsid w:val="003B5846"/>
    <w:rsid w:val="003B5B4A"/>
    <w:rsid w:val="003C0B03"/>
    <w:rsid w:val="003C26FB"/>
    <w:rsid w:val="003C4540"/>
    <w:rsid w:val="003C494B"/>
    <w:rsid w:val="003C746F"/>
    <w:rsid w:val="003D330A"/>
    <w:rsid w:val="003D6799"/>
    <w:rsid w:val="003D67C2"/>
    <w:rsid w:val="003D6CD4"/>
    <w:rsid w:val="003E5F36"/>
    <w:rsid w:val="003F01F1"/>
    <w:rsid w:val="003F0B56"/>
    <w:rsid w:val="003F2144"/>
    <w:rsid w:val="003F2FBC"/>
    <w:rsid w:val="003F51E1"/>
    <w:rsid w:val="003F592D"/>
    <w:rsid w:val="003F5DFA"/>
    <w:rsid w:val="003F5F2E"/>
    <w:rsid w:val="003F627C"/>
    <w:rsid w:val="004022A5"/>
    <w:rsid w:val="00403D70"/>
    <w:rsid w:val="004050B6"/>
    <w:rsid w:val="00405DF0"/>
    <w:rsid w:val="004077CC"/>
    <w:rsid w:val="0041101D"/>
    <w:rsid w:val="004121EF"/>
    <w:rsid w:val="004130FD"/>
    <w:rsid w:val="004134E3"/>
    <w:rsid w:val="00414224"/>
    <w:rsid w:val="0041479C"/>
    <w:rsid w:val="00414E0F"/>
    <w:rsid w:val="00417AAC"/>
    <w:rsid w:val="004205E3"/>
    <w:rsid w:val="0042304E"/>
    <w:rsid w:val="00426E21"/>
    <w:rsid w:val="00427AA7"/>
    <w:rsid w:val="00437EE5"/>
    <w:rsid w:val="00442454"/>
    <w:rsid w:val="004430DA"/>
    <w:rsid w:val="00453F12"/>
    <w:rsid w:val="00457130"/>
    <w:rsid w:val="00457E36"/>
    <w:rsid w:val="004606D6"/>
    <w:rsid w:val="004635B8"/>
    <w:rsid w:val="00464FF3"/>
    <w:rsid w:val="00465CE3"/>
    <w:rsid w:val="00465F73"/>
    <w:rsid w:val="004715DC"/>
    <w:rsid w:val="0047254E"/>
    <w:rsid w:val="00473E4E"/>
    <w:rsid w:val="00474833"/>
    <w:rsid w:val="00474F72"/>
    <w:rsid w:val="00480567"/>
    <w:rsid w:val="004829B6"/>
    <w:rsid w:val="004831C8"/>
    <w:rsid w:val="00483969"/>
    <w:rsid w:val="00486B22"/>
    <w:rsid w:val="00491CF7"/>
    <w:rsid w:val="0049211F"/>
    <w:rsid w:val="004921DC"/>
    <w:rsid w:val="00492C7D"/>
    <w:rsid w:val="0049601A"/>
    <w:rsid w:val="00497584"/>
    <w:rsid w:val="004A31C3"/>
    <w:rsid w:val="004A4C5F"/>
    <w:rsid w:val="004A777A"/>
    <w:rsid w:val="004A7E0A"/>
    <w:rsid w:val="004B0196"/>
    <w:rsid w:val="004B226A"/>
    <w:rsid w:val="004B3C78"/>
    <w:rsid w:val="004B5E2E"/>
    <w:rsid w:val="004B64D5"/>
    <w:rsid w:val="004B6EDF"/>
    <w:rsid w:val="004B7002"/>
    <w:rsid w:val="004C0ECA"/>
    <w:rsid w:val="004C33DB"/>
    <w:rsid w:val="004C4AEB"/>
    <w:rsid w:val="004C6DCF"/>
    <w:rsid w:val="004C7E5E"/>
    <w:rsid w:val="004D4951"/>
    <w:rsid w:val="004D58E4"/>
    <w:rsid w:val="004E27F8"/>
    <w:rsid w:val="004E32C9"/>
    <w:rsid w:val="004E398B"/>
    <w:rsid w:val="004E3E29"/>
    <w:rsid w:val="004E3F9C"/>
    <w:rsid w:val="004E4D60"/>
    <w:rsid w:val="004E56F0"/>
    <w:rsid w:val="004E5BA1"/>
    <w:rsid w:val="004E6C63"/>
    <w:rsid w:val="004E7C9D"/>
    <w:rsid w:val="004F20DC"/>
    <w:rsid w:val="004F443C"/>
    <w:rsid w:val="004F56D9"/>
    <w:rsid w:val="004F64A4"/>
    <w:rsid w:val="00502FF8"/>
    <w:rsid w:val="00504762"/>
    <w:rsid w:val="00505EF2"/>
    <w:rsid w:val="005126B1"/>
    <w:rsid w:val="00512E85"/>
    <w:rsid w:val="00513383"/>
    <w:rsid w:val="005142DB"/>
    <w:rsid w:val="005145C0"/>
    <w:rsid w:val="00515BDA"/>
    <w:rsid w:val="0051630E"/>
    <w:rsid w:val="005167EB"/>
    <w:rsid w:val="00516896"/>
    <w:rsid w:val="005247B7"/>
    <w:rsid w:val="00525A1A"/>
    <w:rsid w:val="00534611"/>
    <w:rsid w:val="00535F10"/>
    <w:rsid w:val="00536D00"/>
    <w:rsid w:val="00536F21"/>
    <w:rsid w:val="005402AF"/>
    <w:rsid w:val="005411A3"/>
    <w:rsid w:val="00543EB8"/>
    <w:rsid w:val="0054587B"/>
    <w:rsid w:val="00550D00"/>
    <w:rsid w:val="005560F5"/>
    <w:rsid w:val="00556FA4"/>
    <w:rsid w:val="00557C5B"/>
    <w:rsid w:val="00560168"/>
    <w:rsid w:val="005626B3"/>
    <w:rsid w:val="005651CF"/>
    <w:rsid w:val="0057093C"/>
    <w:rsid w:val="005710A0"/>
    <w:rsid w:val="0057312B"/>
    <w:rsid w:val="00573F41"/>
    <w:rsid w:val="00574891"/>
    <w:rsid w:val="00576E39"/>
    <w:rsid w:val="00577D5F"/>
    <w:rsid w:val="00577F99"/>
    <w:rsid w:val="005807BD"/>
    <w:rsid w:val="00591704"/>
    <w:rsid w:val="00592177"/>
    <w:rsid w:val="00593EBC"/>
    <w:rsid w:val="00594480"/>
    <w:rsid w:val="005A000E"/>
    <w:rsid w:val="005A2949"/>
    <w:rsid w:val="005A7BA0"/>
    <w:rsid w:val="005B0931"/>
    <w:rsid w:val="005B0A98"/>
    <w:rsid w:val="005B28B5"/>
    <w:rsid w:val="005B4D52"/>
    <w:rsid w:val="005B6001"/>
    <w:rsid w:val="005B7D58"/>
    <w:rsid w:val="005C0499"/>
    <w:rsid w:val="005C4EB4"/>
    <w:rsid w:val="005C55DF"/>
    <w:rsid w:val="005E65D6"/>
    <w:rsid w:val="005E72B9"/>
    <w:rsid w:val="005F15F8"/>
    <w:rsid w:val="005F1B49"/>
    <w:rsid w:val="005F4A43"/>
    <w:rsid w:val="006018AB"/>
    <w:rsid w:val="0060271F"/>
    <w:rsid w:val="00603A85"/>
    <w:rsid w:val="006043EF"/>
    <w:rsid w:val="0060532A"/>
    <w:rsid w:val="00607FE9"/>
    <w:rsid w:val="00612A81"/>
    <w:rsid w:val="006132A8"/>
    <w:rsid w:val="00616042"/>
    <w:rsid w:val="00616C2D"/>
    <w:rsid w:val="00617311"/>
    <w:rsid w:val="00622FCF"/>
    <w:rsid w:val="006328D3"/>
    <w:rsid w:val="006347DD"/>
    <w:rsid w:val="00640E23"/>
    <w:rsid w:val="00641380"/>
    <w:rsid w:val="00641D2C"/>
    <w:rsid w:val="00641E0B"/>
    <w:rsid w:val="00642A00"/>
    <w:rsid w:val="006431EF"/>
    <w:rsid w:val="00645A78"/>
    <w:rsid w:val="00646965"/>
    <w:rsid w:val="00662EB2"/>
    <w:rsid w:val="0066309E"/>
    <w:rsid w:val="00666C8B"/>
    <w:rsid w:val="00666D6F"/>
    <w:rsid w:val="00667635"/>
    <w:rsid w:val="00671591"/>
    <w:rsid w:val="00671FDE"/>
    <w:rsid w:val="00672402"/>
    <w:rsid w:val="00674A09"/>
    <w:rsid w:val="006760E7"/>
    <w:rsid w:val="00677DC5"/>
    <w:rsid w:val="00680567"/>
    <w:rsid w:val="006814D0"/>
    <w:rsid w:val="006828EF"/>
    <w:rsid w:val="00683F74"/>
    <w:rsid w:val="00693ED2"/>
    <w:rsid w:val="00693EFA"/>
    <w:rsid w:val="006A0F96"/>
    <w:rsid w:val="006A3537"/>
    <w:rsid w:val="006B0FB5"/>
    <w:rsid w:val="006B3647"/>
    <w:rsid w:val="006B49A6"/>
    <w:rsid w:val="006B6FF6"/>
    <w:rsid w:val="006B7323"/>
    <w:rsid w:val="006C2F97"/>
    <w:rsid w:val="006C5C31"/>
    <w:rsid w:val="006C617C"/>
    <w:rsid w:val="006D0331"/>
    <w:rsid w:val="006D1A01"/>
    <w:rsid w:val="006D30F3"/>
    <w:rsid w:val="006D37FE"/>
    <w:rsid w:val="006D46BF"/>
    <w:rsid w:val="006D4E49"/>
    <w:rsid w:val="006D53B9"/>
    <w:rsid w:val="006D6B05"/>
    <w:rsid w:val="006E2CF9"/>
    <w:rsid w:val="006E2F2F"/>
    <w:rsid w:val="006E3E28"/>
    <w:rsid w:val="006E4ABA"/>
    <w:rsid w:val="006F0FFA"/>
    <w:rsid w:val="006F1673"/>
    <w:rsid w:val="006F3C5A"/>
    <w:rsid w:val="006F3DF7"/>
    <w:rsid w:val="006F456D"/>
    <w:rsid w:val="006F6F06"/>
    <w:rsid w:val="0070035B"/>
    <w:rsid w:val="00705F2B"/>
    <w:rsid w:val="007068A0"/>
    <w:rsid w:val="007122F1"/>
    <w:rsid w:val="0071344E"/>
    <w:rsid w:val="00713FBB"/>
    <w:rsid w:val="00715484"/>
    <w:rsid w:val="00716C14"/>
    <w:rsid w:val="00716C98"/>
    <w:rsid w:val="00723F6E"/>
    <w:rsid w:val="0072451D"/>
    <w:rsid w:val="00726B6B"/>
    <w:rsid w:val="00727CBA"/>
    <w:rsid w:val="00730C81"/>
    <w:rsid w:val="00731887"/>
    <w:rsid w:val="007319F3"/>
    <w:rsid w:val="0073233E"/>
    <w:rsid w:val="00732E64"/>
    <w:rsid w:val="00733910"/>
    <w:rsid w:val="00737144"/>
    <w:rsid w:val="007376FC"/>
    <w:rsid w:val="00744572"/>
    <w:rsid w:val="007454D8"/>
    <w:rsid w:val="00750EDC"/>
    <w:rsid w:val="00756FA0"/>
    <w:rsid w:val="00757065"/>
    <w:rsid w:val="007601E9"/>
    <w:rsid w:val="00760D41"/>
    <w:rsid w:val="007613D3"/>
    <w:rsid w:val="007643AA"/>
    <w:rsid w:val="00765BD9"/>
    <w:rsid w:val="0076643F"/>
    <w:rsid w:val="00767C93"/>
    <w:rsid w:val="007709AF"/>
    <w:rsid w:val="00776877"/>
    <w:rsid w:val="00777135"/>
    <w:rsid w:val="00783ABF"/>
    <w:rsid w:val="007847E1"/>
    <w:rsid w:val="00786C09"/>
    <w:rsid w:val="007924DF"/>
    <w:rsid w:val="007950F7"/>
    <w:rsid w:val="0079596C"/>
    <w:rsid w:val="007963F1"/>
    <w:rsid w:val="0079737E"/>
    <w:rsid w:val="007A101B"/>
    <w:rsid w:val="007A1B4F"/>
    <w:rsid w:val="007A1F79"/>
    <w:rsid w:val="007A6C76"/>
    <w:rsid w:val="007B061A"/>
    <w:rsid w:val="007B17CA"/>
    <w:rsid w:val="007B4D72"/>
    <w:rsid w:val="007B56F8"/>
    <w:rsid w:val="007B7D22"/>
    <w:rsid w:val="007C198B"/>
    <w:rsid w:val="007C7C0F"/>
    <w:rsid w:val="007D4A5A"/>
    <w:rsid w:val="007E06E7"/>
    <w:rsid w:val="007E1454"/>
    <w:rsid w:val="007E28FB"/>
    <w:rsid w:val="007E71F8"/>
    <w:rsid w:val="007F05B2"/>
    <w:rsid w:val="007F0C0C"/>
    <w:rsid w:val="008000D0"/>
    <w:rsid w:val="00800215"/>
    <w:rsid w:val="008013FD"/>
    <w:rsid w:val="00803466"/>
    <w:rsid w:val="00807353"/>
    <w:rsid w:val="00812C1B"/>
    <w:rsid w:val="00812C7B"/>
    <w:rsid w:val="008140CA"/>
    <w:rsid w:val="00824624"/>
    <w:rsid w:val="008262AA"/>
    <w:rsid w:val="00830D2F"/>
    <w:rsid w:val="00831367"/>
    <w:rsid w:val="00833E54"/>
    <w:rsid w:val="00834E48"/>
    <w:rsid w:val="008365E5"/>
    <w:rsid w:val="008367CA"/>
    <w:rsid w:val="00837E23"/>
    <w:rsid w:val="008412DD"/>
    <w:rsid w:val="0084134E"/>
    <w:rsid w:val="00844D4D"/>
    <w:rsid w:val="00845D3F"/>
    <w:rsid w:val="00845D95"/>
    <w:rsid w:val="00846445"/>
    <w:rsid w:val="00851D97"/>
    <w:rsid w:val="00852B1A"/>
    <w:rsid w:val="00854259"/>
    <w:rsid w:val="00855D2E"/>
    <w:rsid w:val="00856B4B"/>
    <w:rsid w:val="008578A7"/>
    <w:rsid w:val="00861198"/>
    <w:rsid w:val="0086239F"/>
    <w:rsid w:val="00866E7F"/>
    <w:rsid w:val="00870FD0"/>
    <w:rsid w:val="00871F64"/>
    <w:rsid w:val="00875AF5"/>
    <w:rsid w:val="0087796F"/>
    <w:rsid w:val="00880C85"/>
    <w:rsid w:val="00881D7C"/>
    <w:rsid w:val="00882F78"/>
    <w:rsid w:val="00883D17"/>
    <w:rsid w:val="00886B07"/>
    <w:rsid w:val="00886F84"/>
    <w:rsid w:val="00896762"/>
    <w:rsid w:val="008972B4"/>
    <w:rsid w:val="00897DA9"/>
    <w:rsid w:val="008A10E8"/>
    <w:rsid w:val="008A1F66"/>
    <w:rsid w:val="008A2005"/>
    <w:rsid w:val="008A4377"/>
    <w:rsid w:val="008B0C12"/>
    <w:rsid w:val="008B3358"/>
    <w:rsid w:val="008B472A"/>
    <w:rsid w:val="008B4B93"/>
    <w:rsid w:val="008C21E5"/>
    <w:rsid w:val="008C43DF"/>
    <w:rsid w:val="008C6A50"/>
    <w:rsid w:val="008C6FA8"/>
    <w:rsid w:val="008D08DA"/>
    <w:rsid w:val="008D5F10"/>
    <w:rsid w:val="008D6ED3"/>
    <w:rsid w:val="008E30FC"/>
    <w:rsid w:val="008E4C62"/>
    <w:rsid w:val="008E5D1C"/>
    <w:rsid w:val="008E6392"/>
    <w:rsid w:val="008F0CE3"/>
    <w:rsid w:val="008F236C"/>
    <w:rsid w:val="008F2BF6"/>
    <w:rsid w:val="008F50AC"/>
    <w:rsid w:val="008F54A3"/>
    <w:rsid w:val="008F6A0E"/>
    <w:rsid w:val="008F76DC"/>
    <w:rsid w:val="009024C6"/>
    <w:rsid w:val="009034AB"/>
    <w:rsid w:val="0090521D"/>
    <w:rsid w:val="0091016C"/>
    <w:rsid w:val="00911886"/>
    <w:rsid w:val="009124DE"/>
    <w:rsid w:val="00912741"/>
    <w:rsid w:val="00914380"/>
    <w:rsid w:val="00920786"/>
    <w:rsid w:val="0092206C"/>
    <w:rsid w:val="00925A0D"/>
    <w:rsid w:val="009274EC"/>
    <w:rsid w:val="00927BB0"/>
    <w:rsid w:val="00936DA5"/>
    <w:rsid w:val="00940E40"/>
    <w:rsid w:val="00941337"/>
    <w:rsid w:val="00941A4E"/>
    <w:rsid w:val="00945279"/>
    <w:rsid w:val="00945F1D"/>
    <w:rsid w:val="0094728D"/>
    <w:rsid w:val="009476FB"/>
    <w:rsid w:val="00950E26"/>
    <w:rsid w:val="00951C31"/>
    <w:rsid w:val="0095240A"/>
    <w:rsid w:val="0095472A"/>
    <w:rsid w:val="00956108"/>
    <w:rsid w:val="00962387"/>
    <w:rsid w:val="009634DC"/>
    <w:rsid w:val="0096386D"/>
    <w:rsid w:val="00965D31"/>
    <w:rsid w:val="00965E6D"/>
    <w:rsid w:val="0097332C"/>
    <w:rsid w:val="00974590"/>
    <w:rsid w:val="00977B1A"/>
    <w:rsid w:val="00977C00"/>
    <w:rsid w:val="00981224"/>
    <w:rsid w:val="00983C11"/>
    <w:rsid w:val="00985B60"/>
    <w:rsid w:val="009867C1"/>
    <w:rsid w:val="0098719C"/>
    <w:rsid w:val="00990C99"/>
    <w:rsid w:val="009925AC"/>
    <w:rsid w:val="009941ED"/>
    <w:rsid w:val="009A00F5"/>
    <w:rsid w:val="009A0E49"/>
    <w:rsid w:val="009A33D3"/>
    <w:rsid w:val="009A6740"/>
    <w:rsid w:val="009A7CC5"/>
    <w:rsid w:val="009B1024"/>
    <w:rsid w:val="009B478B"/>
    <w:rsid w:val="009C1438"/>
    <w:rsid w:val="009C5BDC"/>
    <w:rsid w:val="009C6B7A"/>
    <w:rsid w:val="009D00C7"/>
    <w:rsid w:val="009D0AA9"/>
    <w:rsid w:val="009D2F3B"/>
    <w:rsid w:val="009D31C0"/>
    <w:rsid w:val="009D41B5"/>
    <w:rsid w:val="009D531B"/>
    <w:rsid w:val="009E0366"/>
    <w:rsid w:val="009E241D"/>
    <w:rsid w:val="009E3BA5"/>
    <w:rsid w:val="009E42F7"/>
    <w:rsid w:val="009F1D59"/>
    <w:rsid w:val="009F3BFF"/>
    <w:rsid w:val="009F6F43"/>
    <w:rsid w:val="009F7160"/>
    <w:rsid w:val="00A028CA"/>
    <w:rsid w:val="00A1125D"/>
    <w:rsid w:val="00A11479"/>
    <w:rsid w:val="00A11AB3"/>
    <w:rsid w:val="00A14E33"/>
    <w:rsid w:val="00A1538F"/>
    <w:rsid w:val="00A21469"/>
    <w:rsid w:val="00A23A30"/>
    <w:rsid w:val="00A23C83"/>
    <w:rsid w:val="00A30A31"/>
    <w:rsid w:val="00A341FE"/>
    <w:rsid w:val="00A3493D"/>
    <w:rsid w:val="00A37DA4"/>
    <w:rsid w:val="00A401BF"/>
    <w:rsid w:val="00A403C1"/>
    <w:rsid w:val="00A42E7E"/>
    <w:rsid w:val="00A436F4"/>
    <w:rsid w:val="00A502A9"/>
    <w:rsid w:val="00A50385"/>
    <w:rsid w:val="00A53E8D"/>
    <w:rsid w:val="00A5641F"/>
    <w:rsid w:val="00A62010"/>
    <w:rsid w:val="00A62B52"/>
    <w:rsid w:val="00A63B5E"/>
    <w:rsid w:val="00A63BC9"/>
    <w:rsid w:val="00A6658B"/>
    <w:rsid w:val="00A7030E"/>
    <w:rsid w:val="00A7060F"/>
    <w:rsid w:val="00A72196"/>
    <w:rsid w:val="00A75067"/>
    <w:rsid w:val="00A75F03"/>
    <w:rsid w:val="00A77B3E"/>
    <w:rsid w:val="00A81B0A"/>
    <w:rsid w:val="00A832A6"/>
    <w:rsid w:val="00A86D8E"/>
    <w:rsid w:val="00A91C56"/>
    <w:rsid w:val="00A95007"/>
    <w:rsid w:val="00A95914"/>
    <w:rsid w:val="00A976D9"/>
    <w:rsid w:val="00AA02BF"/>
    <w:rsid w:val="00AA6D0B"/>
    <w:rsid w:val="00AA7C53"/>
    <w:rsid w:val="00AB287B"/>
    <w:rsid w:val="00AB3CD9"/>
    <w:rsid w:val="00AC19D8"/>
    <w:rsid w:val="00AC26F2"/>
    <w:rsid w:val="00AC5AA4"/>
    <w:rsid w:val="00AC6B4E"/>
    <w:rsid w:val="00AC73FC"/>
    <w:rsid w:val="00AD0F02"/>
    <w:rsid w:val="00AD4073"/>
    <w:rsid w:val="00AD6F5A"/>
    <w:rsid w:val="00AD776F"/>
    <w:rsid w:val="00AE0BD8"/>
    <w:rsid w:val="00AE3C56"/>
    <w:rsid w:val="00AE6D95"/>
    <w:rsid w:val="00AF39EB"/>
    <w:rsid w:val="00AF4A42"/>
    <w:rsid w:val="00B02706"/>
    <w:rsid w:val="00B1095F"/>
    <w:rsid w:val="00B119A3"/>
    <w:rsid w:val="00B11FB1"/>
    <w:rsid w:val="00B147C6"/>
    <w:rsid w:val="00B14B5C"/>
    <w:rsid w:val="00B14C87"/>
    <w:rsid w:val="00B22F3F"/>
    <w:rsid w:val="00B23C00"/>
    <w:rsid w:val="00B25BFD"/>
    <w:rsid w:val="00B269A9"/>
    <w:rsid w:val="00B27635"/>
    <w:rsid w:val="00B31833"/>
    <w:rsid w:val="00B32F9A"/>
    <w:rsid w:val="00B368D3"/>
    <w:rsid w:val="00B413F0"/>
    <w:rsid w:val="00B4366F"/>
    <w:rsid w:val="00B4433A"/>
    <w:rsid w:val="00B45332"/>
    <w:rsid w:val="00B463C5"/>
    <w:rsid w:val="00B46E90"/>
    <w:rsid w:val="00B50DBE"/>
    <w:rsid w:val="00B53C9A"/>
    <w:rsid w:val="00B55339"/>
    <w:rsid w:val="00B55EE2"/>
    <w:rsid w:val="00B5629A"/>
    <w:rsid w:val="00B567CC"/>
    <w:rsid w:val="00B57F24"/>
    <w:rsid w:val="00B6035C"/>
    <w:rsid w:val="00B638C0"/>
    <w:rsid w:val="00B65192"/>
    <w:rsid w:val="00B663D2"/>
    <w:rsid w:val="00B738EB"/>
    <w:rsid w:val="00B74061"/>
    <w:rsid w:val="00B76366"/>
    <w:rsid w:val="00B77A33"/>
    <w:rsid w:val="00B8315F"/>
    <w:rsid w:val="00B845AD"/>
    <w:rsid w:val="00B84724"/>
    <w:rsid w:val="00B86A7C"/>
    <w:rsid w:val="00B86BDF"/>
    <w:rsid w:val="00B8795A"/>
    <w:rsid w:val="00BA4959"/>
    <w:rsid w:val="00BB20DE"/>
    <w:rsid w:val="00BB52DC"/>
    <w:rsid w:val="00BC0942"/>
    <w:rsid w:val="00BC0C26"/>
    <w:rsid w:val="00BC19E7"/>
    <w:rsid w:val="00BC1A62"/>
    <w:rsid w:val="00BC5668"/>
    <w:rsid w:val="00BC64D4"/>
    <w:rsid w:val="00BC6A78"/>
    <w:rsid w:val="00BC78C8"/>
    <w:rsid w:val="00BD03E2"/>
    <w:rsid w:val="00BD1F4B"/>
    <w:rsid w:val="00BD512E"/>
    <w:rsid w:val="00BD709D"/>
    <w:rsid w:val="00BD7F23"/>
    <w:rsid w:val="00BE09FF"/>
    <w:rsid w:val="00BE1575"/>
    <w:rsid w:val="00BE4E67"/>
    <w:rsid w:val="00BE5EB0"/>
    <w:rsid w:val="00BE6941"/>
    <w:rsid w:val="00BF25C7"/>
    <w:rsid w:val="00C0156F"/>
    <w:rsid w:val="00C03F4A"/>
    <w:rsid w:val="00C0788E"/>
    <w:rsid w:val="00C13979"/>
    <w:rsid w:val="00C13FAE"/>
    <w:rsid w:val="00C154FD"/>
    <w:rsid w:val="00C16F2D"/>
    <w:rsid w:val="00C21BC7"/>
    <w:rsid w:val="00C22EE2"/>
    <w:rsid w:val="00C26F73"/>
    <w:rsid w:val="00C27D4A"/>
    <w:rsid w:val="00C309E6"/>
    <w:rsid w:val="00C33109"/>
    <w:rsid w:val="00C37668"/>
    <w:rsid w:val="00C40556"/>
    <w:rsid w:val="00C41DD5"/>
    <w:rsid w:val="00C42A15"/>
    <w:rsid w:val="00C44053"/>
    <w:rsid w:val="00C451B8"/>
    <w:rsid w:val="00C529B6"/>
    <w:rsid w:val="00C6008A"/>
    <w:rsid w:val="00C61B43"/>
    <w:rsid w:val="00C63DDF"/>
    <w:rsid w:val="00C65676"/>
    <w:rsid w:val="00C66230"/>
    <w:rsid w:val="00C66DCF"/>
    <w:rsid w:val="00C66FAA"/>
    <w:rsid w:val="00C67C90"/>
    <w:rsid w:val="00C67E27"/>
    <w:rsid w:val="00C71C48"/>
    <w:rsid w:val="00C72D74"/>
    <w:rsid w:val="00C751FB"/>
    <w:rsid w:val="00C77CF3"/>
    <w:rsid w:val="00C806CA"/>
    <w:rsid w:val="00C85A38"/>
    <w:rsid w:val="00C86E68"/>
    <w:rsid w:val="00C95837"/>
    <w:rsid w:val="00C9616D"/>
    <w:rsid w:val="00CA1B8C"/>
    <w:rsid w:val="00CA2738"/>
    <w:rsid w:val="00CA2C07"/>
    <w:rsid w:val="00CA4741"/>
    <w:rsid w:val="00CA47FE"/>
    <w:rsid w:val="00CA68BF"/>
    <w:rsid w:val="00CB0500"/>
    <w:rsid w:val="00CB0B09"/>
    <w:rsid w:val="00CB0FCF"/>
    <w:rsid w:val="00CB17E3"/>
    <w:rsid w:val="00CB2814"/>
    <w:rsid w:val="00CB36CB"/>
    <w:rsid w:val="00CB4D1F"/>
    <w:rsid w:val="00CB6E64"/>
    <w:rsid w:val="00CB6EBA"/>
    <w:rsid w:val="00CC0767"/>
    <w:rsid w:val="00CC2A78"/>
    <w:rsid w:val="00CC3D47"/>
    <w:rsid w:val="00CC4FB4"/>
    <w:rsid w:val="00CC54E4"/>
    <w:rsid w:val="00CC700F"/>
    <w:rsid w:val="00CC7574"/>
    <w:rsid w:val="00CD0D3E"/>
    <w:rsid w:val="00CD2236"/>
    <w:rsid w:val="00CD7575"/>
    <w:rsid w:val="00CE08A3"/>
    <w:rsid w:val="00CE1ED2"/>
    <w:rsid w:val="00CE3149"/>
    <w:rsid w:val="00CE58D0"/>
    <w:rsid w:val="00CE6069"/>
    <w:rsid w:val="00CE6539"/>
    <w:rsid w:val="00CF371B"/>
    <w:rsid w:val="00CF3E36"/>
    <w:rsid w:val="00CF5548"/>
    <w:rsid w:val="00CF5EE5"/>
    <w:rsid w:val="00CF669E"/>
    <w:rsid w:val="00CF74A8"/>
    <w:rsid w:val="00CF780C"/>
    <w:rsid w:val="00CF7D76"/>
    <w:rsid w:val="00D002BD"/>
    <w:rsid w:val="00D02AFF"/>
    <w:rsid w:val="00D0345B"/>
    <w:rsid w:val="00D0570B"/>
    <w:rsid w:val="00D073C9"/>
    <w:rsid w:val="00D078EF"/>
    <w:rsid w:val="00D109B6"/>
    <w:rsid w:val="00D1384C"/>
    <w:rsid w:val="00D138C9"/>
    <w:rsid w:val="00D207CA"/>
    <w:rsid w:val="00D210DA"/>
    <w:rsid w:val="00D24120"/>
    <w:rsid w:val="00D25BE8"/>
    <w:rsid w:val="00D26223"/>
    <w:rsid w:val="00D26F9B"/>
    <w:rsid w:val="00D30043"/>
    <w:rsid w:val="00D370A1"/>
    <w:rsid w:val="00D42A89"/>
    <w:rsid w:val="00D43656"/>
    <w:rsid w:val="00D43CAD"/>
    <w:rsid w:val="00D44AEB"/>
    <w:rsid w:val="00D51BAB"/>
    <w:rsid w:val="00D5423B"/>
    <w:rsid w:val="00D5507D"/>
    <w:rsid w:val="00D5564D"/>
    <w:rsid w:val="00D71F55"/>
    <w:rsid w:val="00D72854"/>
    <w:rsid w:val="00D72F3B"/>
    <w:rsid w:val="00D731EF"/>
    <w:rsid w:val="00D737E8"/>
    <w:rsid w:val="00D738F2"/>
    <w:rsid w:val="00D76D8F"/>
    <w:rsid w:val="00D80FA4"/>
    <w:rsid w:val="00D855E5"/>
    <w:rsid w:val="00D85692"/>
    <w:rsid w:val="00D865B6"/>
    <w:rsid w:val="00D90486"/>
    <w:rsid w:val="00D927F6"/>
    <w:rsid w:val="00D92AA8"/>
    <w:rsid w:val="00D932D2"/>
    <w:rsid w:val="00D9422A"/>
    <w:rsid w:val="00D9510C"/>
    <w:rsid w:val="00DA073D"/>
    <w:rsid w:val="00DA1C73"/>
    <w:rsid w:val="00DA233D"/>
    <w:rsid w:val="00DB2B66"/>
    <w:rsid w:val="00DB2D3B"/>
    <w:rsid w:val="00DB4F48"/>
    <w:rsid w:val="00DB76B2"/>
    <w:rsid w:val="00DC05E0"/>
    <w:rsid w:val="00DC36D3"/>
    <w:rsid w:val="00DC6CE7"/>
    <w:rsid w:val="00DD0CC4"/>
    <w:rsid w:val="00DD1921"/>
    <w:rsid w:val="00DD2E96"/>
    <w:rsid w:val="00DD3BB6"/>
    <w:rsid w:val="00DD57E9"/>
    <w:rsid w:val="00DD58D9"/>
    <w:rsid w:val="00DE0929"/>
    <w:rsid w:val="00DE0ABB"/>
    <w:rsid w:val="00DE1D3F"/>
    <w:rsid w:val="00DE1D57"/>
    <w:rsid w:val="00DE2B96"/>
    <w:rsid w:val="00DE4976"/>
    <w:rsid w:val="00DE4B42"/>
    <w:rsid w:val="00DF031F"/>
    <w:rsid w:val="00E00633"/>
    <w:rsid w:val="00E01037"/>
    <w:rsid w:val="00E04261"/>
    <w:rsid w:val="00E05CAA"/>
    <w:rsid w:val="00E07F09"/>
    <w:rsid w:val="00E1089E"/>
    <w:rsid w:val="00E11701"/>
    <w:rsid w:val="00E12AC0"/>
    <w:rsid w:val="00E13C98"/>
    <w:rsid w:val="00E16828"/>
    <w:rsid w:val="00E16901"/>
    <w:rsid w:val="00E23FD2"/>
    <w:rsid w:val="00E246C7"/>
    <w:rsid w:val="00E30529"/>
    <w:rsid w:val="00E33221"/>
    <w:rsid w:val="00E43E4E"/>
    <w:rsid w:val="00E4794A"/>
    <w:rsid w:val="00E508EE"/>
    <w:rsid w:val="00E5304A"/>
    <w:rsid w:val="00E54DDB"/>
    <w:rsid w:val="00E558CD"/>
    <w:rsid w:val="00E57BB9"/>
    <w:rsid w:val="00E614DD"/>
    <w:rsid w:val="00E6386C"/>
    <w:rsid w:val="00E7267A"/>
    <w:rsid w:val="00E72750"/>
    <w:rsid w:val="00E754CC"/>
    <w:rsid w:val="00E75720"/>
    <w:rsid w:val="00E76D06"/>
    <w:rsid w:val="00E77339"/>
    <w:rsid w:val="00E807C7"/>
    <w:rsid w:val="00E82315"/>
    <w:rsid w:val="00E847F9"/>
    <w:rsid w:val="00E85B54"/>
    <w:rsid w:val="00E85E5E"/>
    <w:rsid w:val="00E87ACB"/>
    <w:rsid w:val="00E90467"/>
    <w:rsid w:val="00E90EB7"/>
    <w:rsid w:val="00E94F3D"/>
    <w:rsid w:val="00EA0063"/>
    <w:rsid w:val="00EA0BBE"/>
    <w:rsid w:val="00EA0C57"/>
    <w:rsid w:val="00EA3A8B"/>
    <w:rsid w:val="00EA4AA1"/>
    <w:rsid w:val="00EA56D6"/>
    <w:rsid w:val="00EA7EB7"/>
    <w:rsid w:val="00EB0405"/>
    <w:rsid w:val="00EB1420"/>
    <w:rsid w:val="00EC1843"/>
    <w:rsid w:val="00EC2A6D"/>
    <w:rsid w:val="00EC31CC"/>
    <w:rsid w:val="00EC46FA"/>
    <w:rsid w:val="00EC6E8D"/>
    <w:rsid w:val="00ED0CA9"/>
    <w:rsid w:val="00ED3C3B"/>
    <w:rsid w:val="00ED49F7"/>
    <w:rsid w:val="00ED4A06"/>
    <w:rsid w:val="00ED5C65"/>
    <w:rsid w:val="00EE0A58"/>
    <w:rsid w:val="00EE2B3C"/>
    <w:rsid w:val="00EF12EC"/>
    <w:rsid w:val="00EF2A8D"/>
    <w:rsid w:val="00EF2EA3"/>
    <w:rsid w:val="00EF733F"/>
    <w:rsid w:val="00F00C59"/>
    <w:rsid w:val="00F026BB"/>
    <w:rsid w:val="00F02796"/>
    <w:rsid w:val="00F0544E"/>
    <w:rsid w:val="00F07AF9"/>
    <w:rsid w:val="00F07B27"/>
    <w:rsid w:val="00F103B7"/>
    <w:rsid w:val="00F10D11"/>
    <w:rsid w:val="00F120D3"/>
    <w:rsid w:val="00F120E4"/>
    <w:rsid w:val="00F149CD"/>
    <w:rsid w:val="00F1690E"/>
    <w:rsid w:val="00F17D8E"/>
    <w:rsid w:val="00F21063"/>
    <w:rsid w:val="00F225BB"/>
    <w:rsid w:val="00F2544F"/>
    <w:rsid w:val="00F27DE0"/>
    <w:rsid w:val="00F302F8"/>
    <w:rsid w:val="00F3063F"/>
    <w:rsid w:val="00F318C3"/>
    <w:rsid w:val="00F326F0"/>
    <w:rsid w:val="00F32E21"/>
    <w:rsid w:val="00F346DA"/>
    <w:rsid w:val="00F35F8B"/>
    <w:rsid w:val="00F36AB2"/>
    <w:rsid w:val="00F36FEB"/>
    <w:rsid w:val="00F400B2"/>
    <w:rsid w:val="00F4355B"/>
    <w:rsid w:val="00F43728"/>
    <w:rsid w:val="00F51F91"/>
    <w:rsid w:val="00F5235F"/>
    <w:rsid w:val="00F531DD"/>
    <w:rsid w:val="00F55485"/>
    <w:rsid w:val="00F56EA1"/>
    <w:rsid w:val="00F57E60"/>
    <w:rsid w:val="00F6210C"/>
    <w:rsid w:val="00F627F8"/>
    <w:rsid w:val="00F62D2D"/>
    <w:rsid w:val="00F635E0"/>
    <w:rsid w:val="00F63B50"/>
    <w:rsid w:val="00F65323"/>
    <w:rsid w:val="00F67500"/>
    <w:rsid w:val="00F70251"/>
    <w:rsid w:val="00F73F28"/>
    <w:rsid w:val="00F80384"/>
    <w:rsid w:val="00F815E6"/>
    <w:rsid w:val="00F84694"/>
    <w:rsid w:val="00F84F36"/>
    <w:rsid w:val="00F873D0"/>
    <w:rsid w:val="00F90988"/>
    <w:rsid w:val="00F90994"/>
    <w:rsid w:val="00F9395C"/>
    <w:rsid w:val="00FA38DF"/>
    <w:rsid w:val="00FA5348"/>
    <w:rsid w:val="00FB03CF"/>
    <w:rsid w:val="00FB3287"/>
    <w:rsid w:val="00FB3471"/>
    <w:rsid w:val="00FB4295"/>
    <w:rsid w:val="00FB4DE7"/>
    <w:rsid w:val="00FC0C04"/>
    <w:rsid w:val="00FC41AD"/>
    <w:rsid w:val="00FC752B"/>
    <w:rsid w:val="00FC753A"/>
    <w:rsid w:val="00FD1F6E"/>
    <w:rsid w:val="00FD2145"/>
    <w:rsid w:val="00FD2DCC"/>
    <w:rsid w:val="00FD3E2B"/>
    <w:rsid w:val="00FD7209"/>
    <w:rsid w:val="00FE2461"/>
    <w:rsid w:val="00FE2EAF"/>
    <w:rsid w:val="00FE3302"/>
    <w:rsid w:val="00FE5157"/>
    <w:rsid w:val="00FE5B62"/>
    <w:rsid w:val="00FE6284"/>
    <w:rsid w:val="00FE64CC"/>
    <w:rsid w:val="00FE7CF9"/>
    <w:rsid w:val="00FF42E6"/>
    <w:rsid w:val="00FF46E3"/>
    <w:rsid w:val="00FF7A72"/>
    <w:rsid w:val="00FF7F06"/>
    <w:rsid w:val="017165B7"/>
    <w:rsid w:val="06A27213"/>
    <w:rsid w:val="0D076022"/>
    <w:rsid w:val="11891FCA"/>
    <w:rsid w:val="1C9C2643"/>
    <w:rsid w:val="22421B7E"/>
    <w:rsid w:val="252B390A"/>
    <w:rsid w:val="26A9175B"/>
    <w:rsid w:val="29AE5D4B"/>
    <w:rsid w:val="2BC90C1A"/>
    <w:rsid w:val="2D5423D5"/>
    <w:rsid w:val="2FCE2CA3"/>
    <w:rsid w:val="32C209A7"/>
    <w:rsid w:val="46BC1650"/>
    <w:rsid w:val="53DD0E57"/>
    <w:rsid w:val="5738017F"/>
    <w:rsid w:val="583077A8"/>
    <w:rsid w:val="69D22DF1"/>
    <w:rsid w:val="6B361121"/>
    <w:rsid w:val="71C32FE3"/>
    <w:rsid w:val="745E30DF"/>
    <w:rsid w:val="797C08AB"/>
    <w:rsid w:val="7FF57BA6"/>
    <w:rsid w:val="7FFF78DC"/>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nhideWhenUsed="0" w:uiPriority="0" w:name="index 3"/>
    <w:lsdException w:unhideWhenUsed="0" w:uiPriority="0" w:name="index 4"/>
    <w:lsdException w:unhideWhenUsed="0" w:uiPriority="0" w:name="index 5"/>
    <w:lsdException w:unhideWhenUsed="0" w:uiPriority="0" w:name="index 6"/>
    <w:lsdException w:unhideWhenUsed="0" w:uiPriority="0" w:name="index 7"/>
    <w:lsdException w:unhideWhenUsed="0" w:uiPriority="0" w:name="index 8"/>
    <w:lsdException w:unhideWhenUsed="0" w:uiPriority="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name="footnote text"/>
    <w:lsdException w:unhideWhenUsed="0" w:uiPriority="99" w:semiHidden="0" w:name="annotation text"/>
    <w:lsdException w:unhideWhenUsed="0" w:uiPriority="0" w:semiHidden="0" w:name="header"/>
    <w:lsdException w:unhideWhenUsed="0" w:uiPriority="99" w:semiHidden="0" w:name="footer"/>
    <w:lsdException w:unhideWhenUsed="0" w:uiPriority="0" w:name="index heading"/>
    <w:lsdException w:qFormat="1" w:unhideWhenUsed="0" w:uiPriority="0" w:semiHidden="0" w:name="caption"/>
    <w:lsdException w:unhideWhenUsed="0" w:uiPriority="99" w:semiHidden="0" w:name="table of figures"/>
    <w:lsdException w:unhideWhenUsed="0" w:uiPriority="0" w:semiHidden="0" w:name="envelope address"/>
    <w:lsdException w:unhideWhenUsed="0" w:uiPriority="0" w:semiHidden="0" w:name="envelope return"/>
    <w:lsdException w:unhideWhenUsed="0" w:uiPriority="99"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name="endnote text"/>
    <w:lsdException w:unhideWhenUsed="0" w:uiPriority="0" w:name="table of authorities"/>
    <w:lsdException w:unhideWhenUsed="0" w:uiPriority="0" w:name="macro"/>
    <w:lsdException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nhideWhenUsed="0" w:uiPriority="0" w:semiHidden="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nhideWhenUsed="0" w:uiPriority="0" w:semiHidden="0" w:name="Table 3D effects 3"/>
    <w:lsdException w:unhideWhenUsed="0" w:uiPriority="0" w:semiHidden="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Calibri"/>
      <w:kern w:val="2"/>
      <w:sz w:val="21"/>
      <w:szCs w:val="24"/>
      <w:lang w:val="en-US" w:eastAsia="zh-CN" w:bidi="ar-SA"/>
    </w:rPr>
  </w:style>
  <w:style w:type="paragraph" w:styleId="3">
    <w:name w:val="heading 1"/>
    <w:basedOn w:val="1"/>
    <w:next w:val="1"/>
    <w:link w:val="100"/>
    <w:qFormat/>
    <w:uiPriority w:val="0"/>
    <w:pPr>
      <w:outlineLvl w:val="0"/>
    </w:pPr>
    <w:rPr>
      <w:b/>
      <w:sz w:val="44"/>
      <w:szCs w:val="44"/>
    </w:rPr>
  </w:style>
  <w:style w:type="paragraph" w:styleId="4">
    <w:name w:val="heading 2"/>
    <w:basedOn w:val="1"/>
    <w:next w:val="5"/>
    <w:link w:val="134"/>
    <w:qFormat/>
    <w:uiPriority w:val="0"/>
    <w:pPr>
      <w:keepNext/>
      <w:keepLines/>
      <w:jc w:val="center"/>
      <w:outlineLvl w:val="1"/>
    </w:pPr>
    <w:rPr>
      <w:rFonts w:ascii="黑体" w:hAnsi="黑体"/>
      <w:b/>
      <w:sz w:val="32"/>
      <w:szCs w:val="32"/>
      <w:lang w:val="zh-CN" w:eastAsia="zh-CN"/>
    </w:rPr>
  </w:style>
  <w:style w:type="paragraph" w:styleId="5">
    <w:name w:val="heading 3"/>
    <w:basedOn w:val="1"/>
    <w:next w:val="1"/>
    <w:link w:val="102"/>
    <w:qFormat/>
    <w:uiPriority w:val="0"/>
    <w:pPr>
      <w:keepNext/>
      <w:keepLines/>
      <w:tabs>
        <w:tab w:val="left" w:pos="0"/>
      </w:tabs>
      <w:jc w:val="left"/>
      <w:outlineLvl w:val="2"/>
    </w:pPr>
    <w:rPr>
      <w:rFonts w:ascii="黑体" w:hAnsi="黑体" w:cs="黑体"/>
      <w:b/>
      <w:szCs w:val="32"/>
    </w:rPr>
  </w:style>
  <w:style w:type="paragraph" w:styleId="6">
    <w:name w:val="heading 4"/>
    <w:basedOn w:val="1"/>
    <w:next w:val="1"/>
    <w:qFormat/>
    <w:uiPriority w:val="0"/>
    <w:pPr>
      <w:keepNext/>
      <w:keepLines/>
      <w:spacing w:before="280" w:after="290" w:line="376" w:lineRule="auto"/>
      <w:outlineLvl w:val="3"/>
    </w:pPr>
    <w:rPr>
      <w:rFonts w:ascii="黑体" w:hAnsi="黑体" w:eastAsia="Cambria Math"/>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黑体" w:hAnsi="黑体" w:eastAsia="Cambria Math"/>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黑体" w:hAnsi="黑体" w:eastAsia="Cambria Math"/>
      <w:sz w:val="24"/>
    </w:rPr>
  </w:style>
  <w:style w:type="paragraph" w:styleId="11">
    <w:name w:val="heading 9"/>
    <w:basedOn w:val="1"/>
    <w:next w:val="1"/>
    <w:qFormat/>
    <w:uiPriority w:val="0"/>
    <w:pPr>
      <w:keepNext/>
      <w:keepLines/>
      <w:spacing w:before="240" w:after="64" w:line="320" w:lineRule="auto"/>
      <w:outlineLvl w:val="8"/>
    </w:pPr>
    <w:rPr>
      <w:rFonts w:ascii="黑体" w:hAnsi="黑体" w:eastAsia="Cambria Math"/>
      <w:szCs w:val="21"/>
    </w:rPr>
  </w:style>
  <w:style w:type="character" w:default="1" w:styleId="93">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方正超大字符集" w:hAnsi="宋体-方正超大字符集" w:eastAsia="宋体" w:cs="宋体-方正超大字符集"/>
      <w:kern w:val="2"/>
      <w:sz w:val="24"/>
      <w:szCs w:val="24"/>
      <w:lang w:val="en-US" w:eastAsia="zh-CN" w:bidi="ar-SA"/>
    </w:rPr>
  </w:style>
  <w:style w:type="paragraph" w:styleId="12">
    <w:name w:val="List 3"/>
    <w:basedOn w:val="1"/>
    <w:uiPriority w:val="0"/>
    <w:pPr>
      <w:ind w:left="100" w:hanging="200"/>
    </w:pPr>
  </w:style>
  <w:style w:type="paragraph" w:styleId="13">
    <w:name w:val="toc 7"/>
    <w:basedOn w:val="1"/>
    <w:next w:val="1"/>
    <w:uiPriority w:val="39"/>
    <w:pPr>
      <w:ind w:left="1260"/>
      <w:jc w:val="left"/>
    </w:pPr>
    <w:rPr>
      <w:sz w:val="18"/>
      <w:szCs w:val="18"/>
    </w:rPr>
  </w:style>
  <w:style w:type="paragraph" w:styleId="14">
    <w:name w:val="List Number 2"/>
    <w:basedOn w:val="1"/>
    <w:uiPriority w:val="0"/>
    <w:pPr>
      <w:numPr>
        <w:ilvl w:val="0"/>
        <w:numId w:val="1"/>
      </w:numPr>
    </w:pPr>
  </w:style>
  <w:style w:type="paragraph" w:styleId="15">
    <w:name w:val="table of authorities"/>
    <w:basedOn w:val="1"/>
    <w:next w:val="1"/>
    <w:semiHidden/>
    <w:uiPriority w:val="0"/>
    <w:pPr>
      <w:ind w:left="420"/>
    </w:pPr>
  </w:style>
  <w:style w:type="paragraph" w:styleId="16">
    <w:name w:val="Note Heading"/>
    <w:basedOn w:val="1"/>
    <w:next w:val="1"/>
    <w:uiPriority w:val="0"/>
    <w:pPr>
      <w:jc w:val="center"/>
    </w:pPr>
  </w:style>
  <w:style w:type="paragraph" w:styleId="17">
    <w:name w:val="List Bullet 4"/>
    <w:basedOn w:val="1"/>
    <w:uiPriority w:val="0"/>
    <w:pPr>
      <w:numPr>
        <w:ilvl w:val="0"/>
        <w:numId w:val="2"/>
      </w:numPr>
    </w:pPr>
  </w:style>
  <w:style w:type="paragraph" w:styleId="18">
    <w:name w:val="index 8"/>
    <w:basedOn w:val="1"/>
    <w:next w:val="1"/>
    <w:semiHidden/>
    <w:uiPriority w:val="0"/>
    <w:pPr>
      <w:ind w:left="1400"/>
    </w:pPr>
  </w:style>
  <w:style w:type="paragraph" w:styleId="19">
    <w:name w:val="E-mail Signature"/>
    <w:basedOn w:val="1"/>
    <w:uiPriority w:val="0"/>
  </w:style>
  <w:style w:type="paragraph" w:styleId="20">
    <w:name w:val="List Number"/>
    <w:basedOn w:val="1"/>
    <w:uiPriority w:val="0"/>
    <w:pPr>
      <w:numPr>
        <w:ilvl w:val="0"/>
        <w:numId w:val="3"/>
      </w:numPr>
    </w:pPr>
  </w:style>
  <w:style w:type="paragraph" w:styleId="21">
    <w:name w:val="Normal Indent"/>
    <w:basedOn w:val="1"/>
    <w:uiPriority w:val="0"/>
    <w:pPr>
      <w:ind w:firstLine="420"/>
    </w:pPr>
  </w:style>
  <w:style w:type="paragraph" w:styleId="22">
    <w:name w:val="caption"/>
    <w:basedOn w:val="1"/>
    <w:next w:val="1"/>
    <w:link w:val="110"/>
    <w:qFormat/>
    <w:uiPriority w:val="0"/>
    <w:pPr>
      <w:spacing w:line="240" w:lineRule="auto"/>
      <w:ind w:left="420"/>
      <w:jc w:val="center"/>
    </w:pPr>
    <w:rPr>
      <w:rFonts w:eastAsia="Calibri"/>
      <w:b/>
      <w:sz w:val="18"/>
      <w:szCs w:val="18"/>
      <w:lang w:val="zh-CN" w:eastAsia="zh-CN"/>
    </w:rPr>
  </w:style>
  <w:style w:type="paragraph" w:styleId="23">
    <w:name w:val="index 5"/>
    <w:basedOn w:val="1"/>
    <w:next w:val="1"/>
    <w:semiHidden/>
    <w:uiPriority w:val="0"/>
    <w:pPr>
      <w:ind w:left="800"/>
    </w:pPr>
  </w:style>
  <w:style w:type="paragraph" w:styleId="24">
    <w:name w:val="List Bullet"/>
    <w:basedOn w:val="1"/>
    <w:uiPriority w:val="0"/>
    <w:pPr>
      <w:numPr>
        <w:ilvl w:val="0"/>
        <w:numId w:val="4"/>
      </w:numPr>
    </w:pPr>
  </w:style>
  <w:style w:type="paragraph" w:styleId="25">
    <w:name w:val="envelope address"/>
    <w:basedOn w:val="1"/>
    <w:uiPriority w:val="0"/>
    <w:pPr>
      <w:framePr w:w="7920" w:h="1980" w:hRule="exact" w:hSpace="180" w:wrap="around" w:vAnchor="margin" w:hAnchor="page" w:xAlign="center" w:yAlign="bottom"/>
      <w:snapToGrid w:val="0"/>
      <w:ind w:left="100"/>
    </w:pPr>
    <w:rPr>
      <w:rFonts w:ascii="黑体" w:hAnsi="黑体" w:cs="黑体"/>
      <w:sz w:val="24"/>
    </w:rPr>
  </w:style>
  <w:style w:type="paragraph" w:styleId="26">
    <w:name w:val="Document Map"/>
    <w:basedOn w:val="1"/>
    <w:semiHidden/>
    <w:uiPriority w:val="0"/>
    <w:pPr>
      <w:shd w:val="clear" w:color="auto" w:fill="000080"/>
    </w:pPr>
  </w:style>
  <w:style w:type="paragraph" w:styleId="27">
    <w:name w:val="toa heading"/>
    <w:basedOn w:val="1"/>
    <w:next w:val="1"/>
    <w:semiHidden/>
    <w:uiPriority w:val="0"/>
    <w:pPr>
      <w:spacing w:before="120"/>
    </w:pPr>
    <w:rPr>
      <w:rFonts w:ascii="黑体" w:hAnsi="黑体" w:cs="黑体"/>
      <w:sz w:val="24"/>
    </w:rPr>
  </w:style>
  <w:style w:type="paragraph" w:styleId="28">
    <w:name w:val="annotation text"/>
    <w:basedOn w:val="1"/>
    <w:link w:val="116"/>
    <w:uiPriority w:val="99"/>
    <w:pPr>
      <w:jc w:val="left"/>
    </w:pPr>
    <w:rPr>
      <w:lang w:val="zh-CN" w:eastAsia="zh-CN"/>
    </w:rPr>
  </w:style>
  <w:style w:type="paragraph" w:styleId="29">
    <w:name w:val="index 6"/>
    <w:basedOn w:val="1"/>
    <w:next w:val="1"/>
    <w:semiHidden/>
    <w:uiPriority w:val="0"/>
    <w:pPr>
      <w:ind w:left="1000"/>
    </w:pPr>
  </w:style>
  <w:style w:type="paragraph" w:styleId="30">
    <w:name w:val="Salutation"/>
    <w:basedOn w:val="1"/>
    <w:next w:val="1"/>
    <w:uiPriority w:val="0"/>
  </w:style>
  <w:style w:type="paragraph" w:styleId="31">
    <w:name w:val="Body Text 3"/>
    <w:basedOn w:val="1"/>
    <w:uiPriority w:val="0"/>
    <w:pPr>
      <w:spacing w:after="120"/>
    </w:pPr>
    <w:rPr>
      <w:sz w:val="16"/>
      <w:szCs w:val="16"/>
    </w:rPr>
  </w:style>
  <w:style w:type="paragraph" w:styleId="32">
    <w:name w:val="Closing"/>
    <w:basedOn w:val="1"/>
    <w:uiPriority w:val="0"/>
    <w:pPr>
      <w:ind w:left="100"/>
    </w:pPr>
  </w:style>
  <w:style w:type="paragraph" w:styleId="33">
    <w:name w:val="List Bullet 3"/>
    <w:basedOn w:val="1"/>
    <w:uiPriority w:val="0"/>
    <w:pPr>
      <w:numPr>
        <w:ilvl w:val="0"/>
        <w:numId w:val="5"/>
      </w:numPr>
    </w:pPr>
  </w:style>
  <w:style w:type="paragraph" w:styleId="34">
    <w:name w:val="Body Text"/>
    <w:basedOn w:val="1"/>
    <w:link w:val="166"/>
    <w:uiPriority w:val="0"/>
    <w:pPr>
      <w:spacing w:after="120"/>
    </w:pPr>
  </w:style>
  <w:style w:type="paragraph" w:styleId="35">
    <w:name w:val="Body Text Indent"/>
    <w:basedOn w:val="1"/>
    <w:link w:val="101"/>
    <w:uiPriority w:val="0"/>
    <w:pPr>
      <w:spacing w:after="120" w:line="240" w:lineRule="auto"/>
      <w:ind w:left="420"/>
    </w:pPr>
  </w:style>
  <w:style w:type="paragraph" w:styleId="36">
    <w:name w:val="List Number 3"/>
    <w:basedOn w:val="1"/>
    <w:uiPriority w:val="0"/>
    <w:pPr>
      <w:numPr>
        <w:ilvl w:val="0"/>
        <w:numId w:val="6"/>
      </w:numPr>
    </w:pPr>
  </w:style>
  <w:style w:type="paragraph" w:styleId="37">
    <w:name w:val="List 2"/>
    <w:basedOn w:val="1"/>
    <w:uiPriority w:val="0"/>
    <w:pPr>
      <w:ind w:left="100" w:hanging="200"/>
    </w:pPr>
  </w:style>
  <w:style w:type="paragraph" w:styleId="38">
    <w:name w:val="List Continue"/>
    <w:basedOn w:val="1"/>
    <w:uiPriority w:val="0"/>
    <w:pPr>
      <w:spacing w:after="120"/>
      <w:ind w:left="420"/>
    </w:pPr>
  </w:style>
  <w:style w:type="paragraph" w:styleId="39">
    <w:name w:val="Block Text"/>
    <w:basedOn w:val="1"/>
    <w:uiPriority w:val="0"/>
    <w:pPr>
      <w:spacing w:after="120"/>
      <w:ind w:left="1440" w:right="1440"/>
    </w:pPr>
  </w:style>
  <w:style w:type="paragraph" w:styleId="40">
    <w:name w:val="List Bullet 2"/>
    <w:basedOn w:val="1"/>
    <w:uiPriority w:val="0"/>
    <w:pPr>
      <w:numPr>
        <w:ilvl w:val="0"/>
        <w:numId w:val="7"/>
      </w:numPr>
    </w:pPr>
  </w:style>
  <w:style w:type="paragraph" w:styleId="41">
    <w:name w:val="HTML Address"/>
    <w:basedOn w:val="1"/>
    <w:uiPriority w:val="0"/>
    <w:rPr>
      <w:i/>
      <w:iCs/>
    </w:rPr>
  </w:style>
  <w:style w:type="paragraph" w:styleId="42">
    <w:name w:val="index 4"/>
    <w:basedOn w:val="1"/>
    <w:next w:val="1"/>
    <w:semiHidden/>
    <w:uiPriority w:val="0"/>
    <w:pPr>
      <w:ind w:left="600"/>
    </w:pPr>
  </w:style>
  <w:style w:type="paragraph" w:styleId="43">
    <w:name w:val="toc 5"/>
    <w:basedOn w:val="1"/>
    <w:next w:val="1"/>
    <w:uiPriority w:val="39"/>
    <w:pPr>
      <w:ind w:left="840"/>
      <w:jc w:val="left"/>
    </w:pPr>
    <w:rPr>
      <w:sz w:val="18"/>
      <w:szCs w:val="18"/>
    </w:rPr>
  </w:style>
  <w:style w:type="paragraph" w:styleId="44">
    <w:name w:val="toc 3"/>
    <w:basedOn w:val="1"/>
    <w:next w:val="1"/>
    <w:uiPriority w:val="39"/>
    <w:pPr>
      <w:tabs>
        <w:tab w:val="left" w:pos="1260"/>
        <w:tab w:val="right" w:leader="dot" w:pos="8664"/>
      </w:tabs>
      <w:spacing w:line="340" w:lineRule="exact"/>
      <w:ind w:left="420"/>
      <w:jc w:val="left"/>
    </w:pPr>
    <w:rPr>
      <w:rFonts w:cs="宋体"/>
      <w:iCs/>
      <w:szCs w:val="20"/>
    </w:rPr>
  </w:style>
  <w:style w:type="paragraph" w:styleId="45">
    <w:name w:val="Plain Text"/>
    <w:basedOn w:val="1"/>
    <w:semiHidden/>
    <w:uiPriority w:val="0"/>
    <w:rPr>
      <w:rFonts w:ascii="宋体" w:hAnsi="宋体-方正超大字符集" w:cs="宋体-方正超大字符集"/>
      <w:szCs w:val="21"/>
    </w:rPr>
  </w:style>
  <w:style w:type="paragraph" w:styleId="46">
    <w:name w:val="List Bullet 5"/>
    <w:basedOn w:val="1"/>
    <w:uiPriority w:val="0"/>
    <w:pPr>
      <w:numPr>
        <w:ilvl w:val="0"/>
        <w:numId w:val="8"/>
      </w:numPr>
    </w:pPr>
  </w:style>
  <w:style w:type="paragraph" w:styleId="47">
    <w:name w:val="List Number 4"/>
    <w:basedOn w:val="1"/>
    <w:uiPriority w:val="0"/>
  </w:style>
  <w:style w:type="paragraph" w:styleId="48">
    <w:name w:val="toc 8"/>
    <w:basedOn w:val="1"/>
    <w:next w:val="1"/>
    <w:uiPriority w:val="39"/>
    <w:pPr>
      <w:ind w:left="1470"/>
      <w:jc w:val="left"/>
    </w:pPr>
    <w:rPr>
      <w:sz w:val="18"/>
      <w:szCs w:val="18"/>
    </w:rPr>
  </w:style>
  <w:style w:type="paragraph" w:styleId="49">
    <w:name w:val="index 3"/>
    <w:basedOn w:val="1"/>
    <w:next w:val="1"/>
    <w:semiHidden/>
    <w:uiPriority w:val="0"/>
    <w:pPr>
      <w:ind w:left="400"/>
    </w:pPr>
  </w:style>
  <w:style w:type="paragraph" w:styleId="50">
    <w:name w:val="Date"/>
    <w:basedOn w:val="1"/>
    <w:next w:val="1"/>
    <w:uiPriority w:val="0"/>
    <w:pPr>
      <w:ind w:left="100"/>
    </w:pPr>
  </w:style>
  <w:style w:type="paragraph" w:styleId="51">
    <w:name w:val="Body Text Indent 2"/>
    <w:basedOn w:val="1"/>
    <w:uiPriority w:val="0"/>
    <w:pPr>
      <w:spacing w:after="120" w:line="480" w:lineRule="auto"/>
      <w:ind w:left="420"/>
    </w:pPr>
  </w:style>
  <w:style w:type="paragraph" w:styleId="52">
    <w:name w:val="endnote text"/>
    <w:basedOn w:val="1"/>
    <w:semiHidden/>
    <w:uiPriority w:val="0"/>
    <w:pPr>
      <w:snapToGrid w:val="0"/>
      <w:jc w:val="left"/>
    </w:pPr>
  </w:style>
  <w:style w:type="paragraph" w:styleId="53">
    <w:name w:val="List Continue 5"/>
    <w:basedOn w:val="1"/>
    <w:uiPriority w:val="0"/>
    <w:pPr>
      <w:spacing w:after="120"/>
      <w:ind w:left="2100"/>
    </w:pPr>
  </w:style>
  <w:style w:type="paragraph" w:styleId="54">
    <w:name w:val="Balloon Text"/>
    <w:basedOn w:val="1"/>
    <w:semiHidden/>
    <w:uiPriority w:val="0"/>
    <w:rPr>
      <w:sz w:val="18"/>
      <w:szCs w:val="18"/>
    </w:rPr>
  </w:style>
  <w:style w:type="paragraph" w:styleId="55">
    <w:name w:val="footer"/>
    <w:basedOn w:val="1"/>
    <w:link w:val="104"/>
    <w:uiPriority w:val="99"/>
    <w:pPr>
      <w:tabs>
        <w:tab w:val="center" w:pos="4153"/>
        <w:tab w:val="right" w:pos="8306"/>
      </w:tabs>
      <w:snapToGrid w:val="0"/>
      <w:spacing w:line="240" w:lineRule="auto"/>
      <w:jc w:val="left"/>
    </w:pPr>
    <w:rPr>
      <w:sz w:val="18"/>
      <w:szCs w:val="18"/>
      <w:lang w:val="zh-CN" w:eastAsia="zh-CN"/>
    </w:rPr>
  </w:style>
  <w:style w:type="paragraph" w:styleId="56">
    <w:name w:val="envelope return"/>
    <w:basedOn w:val="1"/>
    <w:uiPriority w:val="0"/>
    <w:pPr>
      <w:snapToGrid w:val="0"/>
    </w:pPr>
    <w:rPr>
      <w:rFonts w:ascii="黑体" w:hAnsi="黑体" w:cs="黑体"/>
    </w:rPr>
  </w:style>
  <w:style w:type="paragraph" w:styleId="57">
    <w:name w:val="header"/>
    <w:basedOn w:val="1"/>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58">
    <w:name w:val="Signature"/>
    <w:basedOn w:val="1"/>
    <w:uiPriority w:val="0"/>
    <w:pPr>
      <w:ind w:left="100"/>
    </w:pPr>
  </w:style>
  <w:style w:type="paragraph" w:styleId="59">
    <w:name w:val="toc 1"/>
    <w:basedOn w:val="1"/>
    <w:next w:val="1"/>
    <w:uiPriority w:val="39"/>
    <w:pPr>
      <w:tabs>
        <w:tab w:val="left" w:pos="1260"/>
        <w:tab w:val="right" w:leader="dot" w:pos="8664"/>
      </w:tabs>
      <w:spacing w:before="120" w:after="120" w:line="340" w:lineRule="exact"/>
      <w:jc w:val="center"/>
    </w:pPr>
    <w:rPr>
      <w:rFonts w:cs="宋体"/>
      <w:b/>
      <w:bCs/>
      <w:caps/>
      <w:color w:val="006699"/>
      <w:szCs w:val="21"/>
    </w:rPr>
  </w:style>
  <w:style w:type="paragraph" w:styleId="60">
    <w:name w:val="List Continue 4"/>
    <w:basedOn w:val="1"/>
    <w:uiPriority w:val="0"/>
    <w:pPr>
      <w:spacing w:after="120"/>
      <w:ind w:left="1680"/>
    </w:pPr>
  </w:style>
  <w:style w:type="paragraph" w:styleId="61">
    <w:name w:val="toc 4"/>
    <w:basedOn w:val="1"/>
    <w:next w:val="1"/>
    <w:uiPriority w:val="39"/>
    <w:pPr>
      <w:ind w:left="630"/>
      <w:jc w:val="left"/>
    </w:pPr>
    <w:rPr>
      <w:sz w:val="18"/>
      <w:szCs w:val="18"/>
    </w:rPr>
  </w:style>
  <w:style w:type="paragraph" w:styleId="62">
    <w:name w:val="index heading"/>
    <w:basedOn w:val="1"/>
    <w:next w:val="63"/>
    <w:semiHidden/>
    <w:uiPriority w:val="0"/>
    <w:rPr>
      <w:rFonts w:ascii="黑体" w:hAnsi="黑体" w:cs="黑体"/>
      <w:b/>
      <w:bCs/>
    </w:rPr>
  </w:style>
  <w:style w:type="paragraph" w:styleId="63">
    <w:name w:val="index 1"/>
    <w:basedOn w:val="1"/>
    <w:next w:val="1"/>
    <w:semiHidden/>
    <w:uiPriority w:val="0"/>
  </w:style>
  <w:style w:type="paragraph" w:styleId="64">
    <w:name w:val="Subtitle"/>
    <w:basedOn w:val="1"/>
    <w:qFormat/>
    <w:uiPriority w:val="0"/>
    <w:pPr>
      <w:spacing w:before="240" w:after="60" w:line="312" w:lineRule="auto"/>
      <w:jc w:val="center"/>
      <w:outlineLvl w:val="1"/>
    </w:pPr>
    <w:rPr>
      <w:rFonts w:ascii="黑体" w:hAnsi="黑体" w:cs="黑体"/>
      <w:b/>
      <w:bCs/>
      <w:kern w:val="28"/>
      <w:sz w:val="32"/>
      <w:szCs w:val="32"/>
    </w:rPr>
  </w:style>
  <w:style w:type="paragraph" w:styleId="65">
    <w:name w:val="List Number 5"/>
    <w:basedOn w:val="1"/>
    <w:uiPriority w:val="0"/>
    <w:pPr>
      <w:numPr>
        <w:ilvl w:val="0"/>
        <w:numId w:val="9"/>
      </w:numPr>
    </w:pPr>
  </w:style>
  <w:style w:type="paragraph" w:styleId="66">
    <w:name w:val="List"/>
    <w:basedOn w:val="1"/>
    <w:uiPriority w:val="0"/>
    <w:pPr>
      <w:ind w:left="200" w:hanging="200"/>
    </w:pPr>
  </w:style>
  <w:style w:type="paragraph" w:styleId="67">
    <w:name w:val="footnote text"/>
    <w:basedOn w:val="1"/>
    <w:link w:val="115"/>
    <w:semiHidden/>
    <w:uiPriority w:val="0"/>
    <w:pPr>
      <w:snapToGrid w:val="0"/>
      <w:jc w:val="left"/>
    </w:pPr>
    <w:rPr>
      <w:sz w:val="18"/>
      <w:szCs w:val="18"/>
      <w:lang w:val="zh-CN" w:eastAsia="zh-CN"/>
    </w:rPr>
  </w:style>
  <w:style w:type="paragraph" w:styleId="68">
    <w:name w:val="toc 6"/>
    <w:basedOn w:val="1"/>
    <w:next w:val="1"/>
    <w:uiPriority w:val="39"/>
    <w:pPr>
      <w:ind w:left="1050"/>
      <w:jc w:val="left"/>
    </w:pPr>
    <w:rPr>
      <w:sz w:val="18"/>
      <w:szCs w:val="18"/>
    </w:rPr>
  </w:style>
  <w:style w:type="paragraph" w:styleId="69">
    <w:name w:val="List 5"/>
    <w:basedOn w:val="1"/>
    <w:uiPriority w:val="0"/>
    <w:pPr>
      <w:ind w:left="100" w:hanging="200"/>
    </w:pPr>
  </w:style>
  <w:style w:type="paragraph" w:styleId="70">
    <w:name w:val="Body Text Indent 3"/>
    <w:basedOn w:val="1"/>
    <w:uiPriority w:val="0"/>
    <w:pPr>
      <w:spacing w:after="120"/>
      <w:ind w:left="420"/>
    </w:pPr>
    <w:rPr>
      <w:sz w:val="16"/>
      <w:szCs w:val="16"/>
    </w:rPr>
  </w:style>
  <w:style w:type="paragraph" w:styleId="71">
    <w:name w:val="index 7"/>
    <w:basedOn w:val="1"/>
    <w:next w:val="1"/>
    <w:semiHidden/>
    <w:uiPriority w:val="0"/>
    <w:pPr>
      <w:ind w:left="1200"/>
    </w:pPr>
  </w:style>
  <w:style w:type="paragraph" w:styleId="72">
    <w:name w:val="index 9"/>
    <w:basedOn w:val="1"/>
    <w:next w:val="1"/>
    <w:semiHidden/>
    <w:uiPriority w:val="0"/>
    <w:pPr>
      <w:ind w:left="1600"/>
    </w:pPr>
  </w:style>
  <w:style w:type="paragraph" w:styleId="73">
    <w:name w:val="table of figures"/>
    <w:basedOn w:val="1"/>
    <w:next w:val="1"/>
    <w:link w:val="105"/>
    <w:uiPriority w:val="99"/>
    <w:pPr>
      <w:ind w:left="200" w:hanging="200"/>
    </w:pPr>
    <w:rPr>
      <w:lang w:val="zh-CN" w:eastAsia="zh-CN"/>
    </w:rPr>
  </w:style>
  <w:style w:type="paragraph" w:styleId="74">
    <w:name w:val="toc 2"/>
    <w:basedOn w:val="1"/>
    <w:next w:val="1"/>
    <w:uiPriority w:val="39"/>
    <w:pPr>
      <w:tabs>
        <w:tab w:val="left" w:pos="1236"/>
        <w:tab w:val="right" w:leader="dot" w:pos="8664"/>
      </w:tabs>
      <w:spacing w:line="340" w:lineRule="exact"/>
      <w:ind w:left="210"/>
      <w:jc w:val="left"/>
    </w:pPr>
    <w:rPr>
      <w:rFonts w:cs="宋体"/>
      <w:smallCaps/>
      <w:color w:val="000000"/>
      <w:szCs w:val="20"/>
    </w:rPr>
  </w:style>
  <w:style w:type="paragraph" w:styleId="75">
    <w:name w:val="toc 9"/>
    <w:basedOn w:val="1"/>
    <w:next w:val="1"/>
    <w:uiPriority w:val="39"/>
    <w:pPr>
      <w:ind w:left="1680"/>
      <w:jc w:val="left"/>
    </w:pPr>
    <w:rPr>
      <w:sz w:val="18"/>
      <w:szCs w:val="18"/>
    </w:rPr>
  </w:style>
  <w:style w:type="paragraph" w:styleId="76">
    <w:name w:val="Body Text 2"/>
    <w:basedOn w:val="1"/>
    <w:uiPriority w:val="0"/>
    <w:pPr>
      <w:spacing w:after="120" w:line="480" w:lineRule="auto"/>
    </w:pPr>
  </w:style>
  <w:style w:type="paragraph" w:styleId="77">
    <w:name w:val="List 4"/>
    <w:basedOn w:val="1"/>
    <w:uiPriority w:val="0"/>
    <w:pPr>
      <w:ind w:left="100" w:hanging="200"/>
    </w:pPr>
  </w:style>
  <w:style w:type="paragraph" w:styleId="78">
    <w:name w:val="List Continue 2"/>
    <w:basedOn w:val="1"/>
    <w:uiPriority w:val="0"/>
    <w:pPr>
      <w:spacing w:after="120"/>
      <w:ind w:left="840"/>
    </w:pPr>
  </w:style>
  <w:style w:type="paragraph" w:styleId="79">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黑体" w:hAnsi="黑体" w:cs="黑体"/>
      <w:sz w:val="24"/>
    </w:rPr>
  </w:style>
  <w:style w:type="paragraph" w:styleId="80">
    <w:name w:val="HTML Preformatted"/>
    <w:basedOn w:val="1"/>
    <w:uiPriority w:val="0"/>
    <w:rPr>
      <w:rFonts w:ascii="宋体-方正超大字符集" w:hAnsi="宋体-方正超大字符集" w:cs="宋体-方正超大字符集"/>
      <w:sz w:val="20"/>
      <w:szCs w:val="20"/>
    </w:rPr>
  </w:style>
  <w:style w:type="paragraph" w:styleId="81">
    <w:name w:val="Normal (Web)"/>
    <w:basedOn w:val="1"/>
    <w:uiPriority w:val="0"/>
    <w:pPr>
      <w:widowControl/>
      <w:spacing w:before="100" w:beforeAutospacing="1" w:after="100" w:afterAutospacing="1"/>
      <w:jc w:val="left"/>
    </w:pPr>
    <w:rPr>
      <w:kern w:val="0"/>
      <w:sz w:val="24"/>
    </w:rPr>
  </w:style>
  <w:style w:type="paragraph" w:styleId="82">
    <w:name w:val="List Continue 3"/>
    <w:basedOn w:val="1"/>
    <w:uiPriority w:val="0"/>
    <w:pPr>
      <w:spacing w:after="120"/>
      <w:ind w:left="1260"/>
    </w:pPr>
  </w:style>
  <w:style w:type="paragraph" w:styleId="83">
    <w:name w:val="index 2"/>
    <w:basedOn w:val="1"/>
    <w:next w:val="1"/>
    <w:semiHidden/>
    <w:uiPriority w:val="0"/>
    <w:pPr>
      <w:ind w:left="200"/>
    </w:pPr>
  </w:style>
  <w:style w:type="paragraph" w:styleId="84">
    <w:name w:val="Title"/>
    <w:basedOn w:val="1"/>
    <w:qFormat/>
    <w:uiPriority w:val="0"/>
    <w:pPr>
      <w:spacing w:before="240" w:after="60"/>
      <w:jc w:val="center"/>
      <w:outlineLvl w:val="0"/>
    </w:pPr>
    <w:rPr>
      <w:rFonts w:ascii="黑体" w:hAnsi="黑体" w:cs="黑体"/>
      <w:b/>
      <w:bCs/>
      <w:sz w:val="32"/>
      <w:szCs w:val="32"/>
    </w:rPr>
  </w:style>
  <w:style w:type="paragraph" w:styleId="85">
    <w:name w:val="annotation subject"/>
    <w:basedOn w:val="28"/>
    <w:next w:val="28"/>
    <w:semiHidden/>
    <w:uiPriority w:val="0"/>
    <w:rPr>
      <w:b/>
      <w:bCs/>
    </w:rPr>
  </w:style>
  <w:style w:type="paragraph" w:styleId="86">
    <w:name w:val="Body Text First Indent"/>
    <w:basedOn w:val="34"/>
    <w:uiPriority w:val="0"/>
    <w:pPr>
      <w:ind w:firstLine="420"/>
    </w:pPr>
  </w:style>
  <w:style w:type="paragraph" w:styleId="87">
    <w:name w:val="Body Text First Indent 2"/>
    <w:basedOn w:val="35"/>
    <w:uiPriority w:val="0"/>
    <w:pPr>
      <w:spacing w:line="360" w:lineRule="auto"/>
      <w:ind w:firstLine="420"/>
    </w:pPr>
  </w:style>
  <w:style w:type="table" w:styleId="89">
    <w:name w:val="Table Grid"/>
    <w:basedOn w:val="88"/>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Classic 4"/>
    <w:basedOn w:val="88"/>
    <w:uiPriority w:val="0"/>
    <w:pPr>
      <w:widowControl w:val="0"/>
      <w:spacing w:line="360" w:lineRule="auto"/>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1">
    <w:name w:val="Table 3D effects 3"/>
    <w:basedOn w:val="88"/>
    <w:uiPriority w:val="0"/>
    <w:pPr>
      <w:widowControl w:val="0"/>
      <w:spacing w:line="360" w:lineRule="auto"/>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Contemporary"/>
    <w:basedOn w:val="88"/>
    <w:uiPriority w:val="0"/>
    <w:pPr>
      <w:widowControl w:val="0"/>
      <w:spacing w:line="360" w:lineRule="auto"/>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94">
    <w:name w:val="Strong"/>
    <w:qFormat/>
    <w:uiPriority w:val="0"/>
    <w:rPr>
      <w:b/>
    </w:rPr>
  </w:style>
  <w:style w:type="character" w:styleId="95">
    <w:name w:val="page number"/>
    <w:uiPriority w:val="0"/>
    <w:rPr>
      <w:rFonts w:ascii="Calibri" w:hAnsi="Calibri"/>
    </w:rPr>
  </w:style>
  <w:style w:type="character" w:styleId="96">
    <w:name w:val="FollowedHyperlink"/>
    <w:uiPriority w:val="99"/>
    <w:rPr>
      <w:color w:val="800080"/>
      <w:u w:val="single"/>
    </w:rPr>
  </w:style>
  <w:style w:type="character" w:styleId="97">
    <w:name w:val="Hyperlink"/>
    <w:uiPriority w:val="99"/>
    <w:rPr>
      <w:color w:val="0000FF"/>
      <w:u w:val="single"/>
    </w:rPr>
  </w:style>
  <w:style w:type="character" w:styleId="98">
    <w:name w:val="annotation reference"/>
    <w:uiPriority w:val="99"/>
    <w:rPr>
      <w:sz w:val="21"/>
      <w:szCs w:val="21"/>
    </w:rPr>
  </w:style>
  <w:style w:type="character" w:styleId="99">
    <w:name w:val="footnote reference"/>
    <w:uiPriority w:val="99"/>
    <w:rPr>
      <w:vertAlign w:val="superscript"/>
    </w:rPr>
  </w:style>
  <w:style w:type="character" w:customStyle="1" w:styleId="100">
    <w:name w:val="标题 1 字符1"/>
    <w:link w:val="3"/>
    <w:uiPriority w:val="0"/>
    <w:rPr>
      <w:rFonts w:eastAsia="宋体"/>
      <w:b/>
      <w:kern w:val="2"/>
      <w:sz w:val="44"/>
      <w:szCs w:val="44"/>
      <w:lang w:val="en-US" w:eastAsia="zh-CN" w:bidi="ar-SA"/>
    </w:rPr>
  </w:style>
  <w:style w:type="character" w:customStyle="1" w:styleId="101">
    <w:name w:val="正文文本缩进 字符1"/>
    <w:link w:val="35"/>
    <w:locked/>
    <w:uiPriority w:val="0"/>
    <w:rPr>
      <w:rFonts w:eastAsia="宋体"/>
      <w:kern w:val="2"/>
      <w:sz w:val="21"/>
      <w:szCs w:val="24"/>
      <w:lang w:val="en-US" w:eastAsia="zh-CN" w:bidi="ar-SA"/>
    </w:rPr>
  </w:style>
  <w:style w:type="character" w:customStyle="1" w:styleId="102">
    <w:name w:val="标题 3 字符1"/>
    <w:link w:val="5"/>
    <w:autoRedefine/>
    <w:qFormat/>
    <w:uiPriority w:val="0"/>
    <w:rPr>
      <w:rFonts w:ascii="黑体" w:hAnsi="黑体" w:eastAsia="宋体" w:cs="黑体"/>
      <w:b/>
      <w:kern w:val="2"/>
      <w:sz w:val="21"/>
      <w:szCs w:val="32"/>
      <w:lang w:val="en-US" w:eastAsia="zh-CN" w:bidi="ar-SA"/>
    </w:rPr>
  </w:style>
  <w:style w:type="character" w:customStyle="1" w:styleId="103">
    <w:name w:val="标题 3 Char"/>
    <w:uiPriority w:val="0"/>
    <w:rPr>
      <w:rFonts w:ascii="黑体" w:hAnsi="黑体" w:eastAsia="宋体" w:cs="黑体"/>
      <w:b/>
      <w:kern w:val="2"/>
      <w:sz w:val="21"/>
      <w:szCs w:val="32"/>
      <w:lang w:val="en-US" w:eastAsia="zh-CN" w:bidi="ar-SA"/>
    </w:rPr>
  </w:style>
  <w:style w:type="character" w:customStyle="1" w:styleId="104">
    <w:name w:val="页脚 字符1"/>
    <w:link w:val="55"/>
    <w:uiPriority w:val="99"/>
    <w:rPr>
      <w:kern w:val="2"/>
      <w:sz w:val="18"/>
      <w:szCs w:val="18"/>
    </w:rPr>
  </w:style>
  <w:style w:type="character" w:customStyle="1" w:styleId="105">
    <w:name w:val="图表目录 字符1"/>
    <w:link w:val="73"/>
    <w:uiPriority w:val="99"/>
    <w:rPr>
      <w:kern w:val="2"/>
      <w:sz w:val="21"/>
      <w:szCs w:val="24"/>
    </w:rPr>
  </w:style>
  <w:style w:type="character" w:customStyle="1" w:styleId="106">
    <w:name w:val="图表 Char"/>
    <w:link w:val="107"/>
    <w:uiPriority w:val="0"/>
    <w:rPr>
      <w:b/>
      <w:kern w:val="2"/>
      <w:sz w:val="18"/>
      <w:szCs w:val="18"/>
    </w:rPr>
  </w:style>
  <w:style w:type="paragraph" w:customStyle="1" w:styleId="107">
    <w:name w:val="图表"/>
    <w:basedOn w:val="73"/>
    <w:link w:val="106"/>
    <w:uiPriority w:val="0"/>
    <w:pPr>
      <w:spacing w:line="240" w:lineRule="auto"/>
      <w:ind w:left="0" w:firstLine="0"/>
      <w:jc w:val="center"/>
    </w:pPr>
    <w:rPr>
      <w:b/>
      <w:sz w:val="18"/>
      <w:szCs w:val="18"/>
    </w:rPr>
  </w:style>
  <w:style w:type="character" w:customStyle="1" w:styleId="108">
    <w:name w:val="职业环境 Char"/>
    <w:link w:val="109"/>
    <w:uiPriority w:val="0"/>
    <w:rPr>
      <w:b/>
      <w:kern w:val="2"/>
      <w:sz w:val="18"/>
      <w:szCs w:val="18"/>
    </w:rPr>
  </w:style>
  <w:style w:type="paragraph" w:customStyle="1" w:styleId="109">
    <w:name w:val="职业环境"/>
    <w:basedOn w:val="107"/>
    <w:link w:val="108"/>
    <w:qFormat/>
    <w:uiPriority w:val="0"/>
    <w:pPr>
      <w:spacing w:line="360" w:lineRule="auto"/>
    </w:pPr>
    <w:rPr>
      <w:rFonts w:eastAsia="Calibri" w:cs="黑体"/>
      <w:b w:val="0"/>
      <w:bCs/>
      <w:sz w:val="21"/>
      <w:szCs w:val="21"/>
    </w:rPr>
  </w:style>
  <w:style w:type="character" w:customStyle="1" w:styleId="110">
    <w:name w:val="题注 字符2"/>
    <w:link w:val="22"/>
    <w:uiPriority w:val="0"/>
    <w:rPr>
      <w:rFonts w:ascii="Calibri" w:hAnsi="Calibri" w:eastAsia="Calibri" w:cs="黑体"/>
      <w:b/>
      <w:kern w:val="2"/>
      <w:sz w:val="18"/>
      <w:szCs w:val="18"/>
    </w:rPr>
  </w:style>
  <w:style w:type="character" w:customStyle="1" w:styleId="111">
    <w:name w:val="样式1 Char"/>
    <w:link w:val="112"/>
    <w:uiPriority w:val="0"/>
    <w:rPr>
      <w:b/>
      <w:kern w:val="2"/>
      <w:sz w:val="21"/>
      <w:szCs w:val="24"/>
    </w:rPr>
  </w:style>
  <w:style w:type="paragraph" w:customStyle="1" w:styleId="112">
    <w:name w:val="样式1"/>
    <w:basedOn w:val="1"/>
    <w:link w:val="111"/>
    <w:uiPriority w:val="0"/>
    <w:rPr>
      <w:b/>
      <w:lang w:val="zh-CN" w:eastAsia="zh-CN"/>
    </w:rPr>
  </w:style>
  <w:style w:type="character" w:customStyle="1" w:styleId="113">
    <w:name w:val="图表标题 Char"/>
    <w:link w:val="114"/>
    <w:autoRedefine/>
    <w:qFormat/>
    <w:uiPriority w:val="0"/>
    <w:rPr>
      <w:b/>
      <w:kern w:val="2"/>
      <w:sz w:val="18"/>
      <w:szCs w:val="48"/>
    </w:rPr>
  </w:style>
  <w:style w:type="paragraph" w:customStyle="1" w:styleId="114">
    <w:name w:val="图表标题"/>
    <w:basedOn w:val="1"/>
    <w:link w:val="113"/>
    <w:uiPriority w:val="0"/>
    <w:pPr>
      <w:spacing w:line="240" w:lineRule="auto"/>
      <w:jc w:val="center"/>
    </w:pPr>
    <w:rPr>
      <w:b/>
      <w:sz w:val="18"/>
      <w:szCs w:val="48"/>
      <w:lang w:val="zh-CN" w:eastAsia="zh-CN"/>
    </w:rPr>
  </w:style>
  <w:style w:type="character" w:customStyle="1" w:styleId="115">
    <w:name w:val="脚注文本 字符1"/>
    <w:link w:val="67"/>
    <w:autoRedefine/>
    <w:semiHidden/>
    <w:qFormat/>
    <w:uiPriority w:val="0"/>
    <w:rPr>
      <w:kern w:val="2"/>
      <w:sz w:val="18"/>
      <w:szCs w:val="18"/>
    </w:rPr>
  </w:style>
  <w:style w:type="character" w:customStyle="1" w:styleId="116">
    <w:name w:val="批注文字 字符2"/>
    <w:link w:val="28"/>
    <w:autoRedefine/>
    <w:qFormat/>
    <w:uiPriority w:val="99"/>
    <w:rPr>
      <w:kern w:val="2"/>
      <w:sz w:val="21"/>
      <w:szCs w:val="24"/>
    </w:rPr>
  </w:style>
  <w:style w:type="paragraph" w:customStyle="1" w:styleId="117">
    <w:name w:val="m标题3"/>
    <w:basedOn w:val="5"/>
    <w:semiHidden/>
    <w:uiPriority w:val="0"/>
    <w:pPr>
      <w:numPr>
        <w:ilvl w:val="0"/>
        <w:numId w:val="10"/>
      </w:numPr>
      <w:spacing w:line="240" w:lineRule="auto"/>
    </w:pPr>
    <w:rPr>
      <w:szCs w:val="21"/>
    </w:rPr>
  </w:style>
  <w:style w:type="paragraph" w:customStyle="1" w:styleId="118">
    <w:name w:val="m标题2"/>
    <w:basedOn w:val="4"/>
    <w:semiHidden/>
    <w:uiPriority w:val="0"/>
    <w:pPr>
      <w:numPr>
        <w:ilvl w:val="0"/>
        <w:numId w:val="11"/>
      </w:numPr>
    </w:pPr>
  </w:style>
  <w:style w:type="paragraph" w:customStyle="1" w:styleId="119">
    <w:name w:val="m标题4"/>
    <w:basedOn w:val="1"/>
    <w:semiHidden/>
    <w:uiPriority w:val="0"/>
    <w:pPr>
      <w:tabs>
        <w:tab w:val="left" w:pos="420"/>
      </w:tabs>
      <w:ind w:left="420"/>
    </w:pPr>
    <w:rPr>
      <w:b/>
    </w:rPr>
  </w:style>
  <w:style w:type="paragraph" w:customStyle="1" w:styleId="120">
    <w:name w:val="部分"/>
    <w:basedOn w:val="3"/>
    <w:uiPriority w:val="0"/>
    <w:pPr>
      <w:jc w:val="center"/>
    </w:pPr>
    <w:rPr>
      <w:rFonts w:ascii="Cambria Math" w:eastAsia="Cambria Math"/>
    </w:rPr>
  </w:style>
  <w:style w:type="paragraph" w:customStyle="1" w:styleId="121">
    <w:name w:val="表格_表头"/>
    <w:uiPriority w:val="0"/>
    <w:pPr>
      <w:jc w:val="center"/>
    </w:pPr>
    <w:rPr>
      <w:rFonts w:ascii="黑体" w:hAnsi="黑体" w:eastAsia="Cambria Math" w:cs="黑体"/>
      <w:sz w:val="18"/>
      <w:lang w:val="en-US" w:eastAsia="zh-CN" w:bidi="ar-SA"/>
    </w:rPr>
  </w:style>
  <w:style w:type="paragraph" w:customStyle="1" w:styleId="122">
    <w:name w:val="表格_正文"/>
    <w:uiPriority w:val="0"/>
    <w:pPr>
      <w:spacing w:line="300" w:lineRule="atLeast"/>
      <w:ind w:left="101"/>
      <w:jc w:val="both"/>
    </w:pPr>
    <w:rPr>
      <w:rFonts w:ascii="Calibri" w:hAnsi="Calibri" w:eastAsia="宋体" w:cs="Calibri"/>
      <w:sz w:val="18"/>
      <w:szCs w:val="18"/>
      <w:lang w:val="en-US" w:eastAsia="zh-CN" w:bidi="ar-SA"/>
    </w:rPr>
  </w:style>
  <w:style w:type="paragraph" w:customStyle="1" w:styleId="123">
    <w:name w:val="注释_正文"/>
    <w:basedOn w:val="1"/>
    <w:uiPriority w:val="0"/>
    <w:pPr>
      <w:spacing w:line="240" w:lineRule="auto"/>
      <w:ind w:firstLine="200"/>
    </w:pPr>
    <w:rPr>
      <w:rFonts w:eastAsia="Calibri"/>
    </w:rPr>
  </w:style>
  <w:style w:type="paragraph" w:customStyle="1" w:styleId="124">
    <w:name w:val="表格_表题"/>
    <w:uiPriority w:val="0"/>
    <w:pPr>
      <w:spacing w:line="300" w:lineRule="atLeast"/>
      <w:jc w:val="center"/>
    </w:pPr>
    <w:rPr>
      <w:rFonts w:ascii="黑体" w:hAnsi="黑体" w:eastAsia="Cambria Math" w:cs="黑体"/>
      <w:sz w:val="18"/>
      <w:szCs w:val="18"/>
      <w:lang w:val="en-US" w:eastAsia="zh-CN" w:bidi="ar-SA"/>
    </w:rPr>
  </w:style>
  <w:style w:type="paragraph" w:customStyle="1" w:styleId="125">
    <w:name w:val="a0"/>
    <w:basedOn w:val="1"/>
    <w:uiPriority w:val="0"/>
    <w:pPr>
      <w:widowControl/>
      <w:spacing w:before="100" w:beforeAutospacing="1" w:after="100" w:afterAutospacing="1" w:line="240" w:lineRule="auto"/>
      <w:jc w:val="left"/>
    </w:pPr>
    <w:rPr>
      <w:rFonts w:ascii="宋体" w:hAnsi="宋体" w:cs="宋体"/>
      <w:kern w:val="0"/>
      <w:sz w:val="24"/>
    </w:rPr>
  </w:style>
  <w:style w:type="paragraph" w:customStyle="1" w:styleId="126">
    <w:name w:val="Revision"/>
    <w:semiHidden/>
    <w:uiPriority w:val="99"/>
    <w:rPr>
      <w:rFonts w:ascii="Calibri" w:hAnsi="Calibri" w:eastAsia="宋体" w:cs="Calibri"/>
      <w:kern w:val="2"/>
      <w:sz w:val="21"/>
      <w:szCs w:val="24"/>
      <w:lang w:val="en-US" w:eastAsia="zh-CN" w:bidi="ar-SA"/>
    </w:rPr>
  </w:style>
  <w:style w:type="paragraph" w:styleId="127">
    <w:name w:val="List Paragraph"/>
    <w:basedOn w:val="1"/>
    <w:qFormat/>
    <w:uiPriority w:val="34"/>
    <w:pPr>
      <w:ind w:firstLine="420"/>
    </w:pPr>
  </w:style>
  <w:style w:type="paragraph" w:customStyle="1" w:styleId="128">
    <w:name w:val="正文 真"/>
    <w:qFormat/>
    <w:uiPriority w:val="0"/>
    <w:pPr>
      <w:spacing w:line="360" w:lineRule="auto"/>
      <w:ind w:firstLine="200"/>
      <w:jc w:val="both"/>
    </w:pPr>
    <w:rPr>
      <w:rFonts w:ascii="Calibri" w:hAnsi="Calibri" w:eastAsia="宋体" w:cs="Calibri"/>
      <w:sz w:val="21"/>
      <w:szCs w:val="21"/>
      <w:lang w:val="en-US" w:eastAsia="zh-CN" w:bidi="ar-SA"/>
    </w:rPr>
  </w:style>
  <w:style w:type="table" w:customStyle="1" w:styleId="129">
    <w:name w:val="流行型_含合并单元格"/>
    <w:basedOn w:val="92"/>
    <w:uiPriority w:val="0"/>
    <w:tblStylePr w:type="firstRow">
      <w:pPr>
        <w:jc w:val="center"/>
      </w:pPr>
      <w:rPr>
        <w:b/>
        <w:bCs/>
        <w:i w:val="0"/>
        <w:color w:val="auto"/>
        <w:sz w:val="21"/>
      </w:rPr>
      <w:tcPr>
        <w:tcBorders>
          <w:top w:val="nil"/>
          <w:left w:val="nil"/>
          <w:bottom w:val="nil"/>
          <w:right w:val="nil"/>
          <w:insideH w:val="nil"/>
          <w:insideV w:val="nil"/>
          <w:tl2br w:val="nil"/>
          <w:tr2bl w:val="nil"/>
        </w:tcBorders>
        <w:shd w:val="clear" w:color="000000" w:fill="B3B3B3"/>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130">
    <w:name w:val="报告表格1"/>
    <w:basedOn w:val="88"/>
    <w:uiPriority w:val="0"/>
    <w:pPr>
      <w:jc w:val="center"/>
    </w:pPr>
    <w:rPr>
      <w:rFonts w:ascii="黑体" w:hAnsi="黑体" w:eastAsia="黑体" w:cs="黑体"/>
    </w:rPr>
    <w:tcPr>
      <w:shd w:val="clear" w:color="auto" w:fill="auto"/>
    </w:tcPr>
  </w:style>
  <w:style w:type="table" w:customStyle="1" w:styleId="131">
    <w:name w:val="表格1"/>
    <w:basedOn w:val="88"/>
    <w:uiPriority w:val="0"/>
    <w:pPr>
      <w:spacing w:line="320" w:lineRule="exact"/>
      <w:jc w:val="center"/>
    </w:pPr>
    <w:tblP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StylePr w:type="firstRow">
      <w:pPr>
        <w:jc w:val="center"/>
      </w:pPr>
      <w:rPr>
        <w:b/>
        <w:i w:val="0"/>
        <w:color w:val="000000"/>
        <w:sz w:val="20"/>
      </w:rPr>
      <w:tblPr/>
      <w:trPr>
        <w:tblHeader/>
      </w:trPr>
      <w:tcPr>
        <w:tcBorders>
          <w:top w:val="single" w:color="FFFFFF" w:sz="6" w:space="0"/>
          <w:left w:val="single" w:color="FFFFFF" w:sz="6" w:space="0"/>
          <w:bottom w:val="single" w:color="FFFFFF" w:sz="6" w:space="0"/>
          <w:right w:val="single" w:color="FFFFFF" w:sz="6" w:space="0"/>
          <w:insideH w:val="single" w:sz="6" w:space="0"/>
          <w:insideV w:val="single" w:sz="6" w:space="0"/>
          <w:tl2br w:val="nil"/>
          <w:tr2bl w:val="nil"/>
        </w:tcBorders>
        <w:shd w:val="clear" w:color="auto" w:fill="8DB3E2"/>
        <w:vAlign w:val="center"/>
      </w:tcPr>
    </w:tblStylePr>
    <w:tblStylePr w:type="band1Horz">
      <w:tcPr>
        <w:shd w:val="clear" w:color="auto" w:fill="F6F8FC"/>
      </w:tcPr>
    </w:tblStylePr>
    <w:tblStylePr w:type="band2Horz">
      <w:tcPr>
        <w:tcBorders>
          <w:top w:val="single" w:color="FFFFFF" w:sz="6" w:space="0"/>
          <w:left w:val="single" w:color="FFFFFF" w:sz="6" w:space="0"/>
          <w:bottom w:val="single" w:color="FFFFFF" w:sz="6" w:space="0"/>
          <w:right w:val="single" w:color="FFFFFF" w:sz="6" w:space="0"/>
          <w:insideH w:val="single" w:sz="6" w:space="0"/>
          <w:insideV w:val="single" w:sz="6" w:space="0"/>
          <w:tl2br w:val="nil"/>
          <w:tr2bl w:val="nil"/>
        </w:tcBorders>
        <w:shd w:val="clear" w:color="auto" w:fill="C5D5E9"/>
      </w:tcPr>
    </w:tblStylePr>
  </w:style>
  <w:style w:type="character" w:customStyle="1" w:styleId="132">
    <w:name w:val="题注 字符"/>
    <w:uiPriority w:val="0"/>
    <w:rPr>
      <w:rFonts w:ascii="Calibri" w:hAnsi="Calibri" w:eastAsia="Calibri" w:cs="黑体"/>
      <w:b/>
      <w:kern w:val="2"/>
      <w:sz w:val="18"/>
      <w:szCs w:val="18"/>
    </w:rPr>
  </w:style>
  <w:style w:type="character" w:customStyle="1" w:styleId="133">
    <w:name w:val="批注文字 字符"/>
    <w:uiPriority w:val="99"/>
    <w:rPr>
      <w:kern w:val="2"/>
      <w:sz w:val="21"/>
      <w:szCs w:val="24"/>
    </w:rPr>
  </w:style>
  <w:style w:type="character" w:customStyle="1" w:styleId="134">
    <w:name w:val="标题 2 字符1"/>
    <w:link w:val="4"/>
    <w:uiPriority w:val="0"/>
    <w:rPr>
      <w:rFonts w:ascii="黑体" w:hAnsi="黑体" w:cs="黑体"/>
      <w:b/>
      <w:kern w:val="2"/>
      <w:sz w:val="32"/>
      <w:szCs w:val="32"/>
    </w:rPr>
  </w:style>
  <w:style w:type="paragraph" w:customStyle="1" w:styleId="135">
    <w:name w:val="font5"/>
    <w:basedOn w:val="1"/>
    <w:uiPriority w:val="0"/>
    <w:pPr>
      <w:widowControl/>
      <w:spacing w:before="100" w:beforeAutospacing="1" w:after="100" w:afterAutospacing="1" w:line="240" w:lineRule="auto"/>
      <w:jc w:val="left"/>
    </w:pPr>
    <w:rPr>
      <w:rFonts w:cs="宋体"/>
      <w:b/>
      <w:bCs/>
      <w:color w:val="000000"/>
      <w:kern w:val="0"/>
      <w:sz w:val="20"/>
      <w:szCs w:val="20"/>
    </w:rPr>
  </w:style>
  <w:style w:type="paragraph" w:customStyle="1" w:styleId="136">
    <w:name w:val="font6"/>
    <w:basedOn w:val="1"/>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137">
    <w:name w:val="font7"/>
    <w:basedOn w:val="1"/>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138">
    <w:name w:val="font8"/>
    <w:basedOn w:val="1"/>
    <w:uiPriority w:val="0"/>
    <w:pPr>
      <w:widowControl/>
      <w:spacing w:before="100" w:beforeAutospacing="1" w:after="100" w:afterAutospacing="1" w:line="240" w:lineRule="auto"/>
      <w:jc w:val="left"/>
    </w:pPr>
    <w:rPr>
      <w:rFonts w:cs="宋体"/>
      <w:color w:val="000000"/>
      <w:kern w:val="0"/>
      <w:sz w:val="20"/>
      <w:szCs w:val="20"/>
    </w:rPr>
  </w:style>
  <w:style w:type="paragraph" w:customStyle="1" w:styleId="139">
    <w:name w:val="font9"/>
    <w:basedOn w:val="1"/>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140">
    <w:name w:val="xl63"/>
    <w:basedOn w:val="1"/>
    <w:uiPriority w:val="0"/>
    <w:pPr>
      <w:widowControl/>
      <w:pBdr>
        <w:top w:val="single" w:color="FFFFFF" w:sz="8" w:space="0"/>
        <w:left w:val="single" w:color="FFFFFF" w:sz="8" w:space="0"/>
        <w:bottom w:val="single" w:color="FFFFFF" w:sz="8" w:space="0"/>
        <w:right w:val="single" w:color="FFFFFF" w:sz="8" w:space="0"/>
      </w:pBdr>
      <w:shd w:val="clear" w:color="000000" w:fill="8DB3E2"/>
      <w:spacing w:before="100" w:beforeAutospacing="1" w:after="100" w:afterAutospacing="1" w:line="240" w:lineRule="auto"/>
      <w:jc w:val="center"/>
      <w:textAlignment w:val="center"/>
    </w:pPr>
    <w:rPr>
      <w:rFonts w:cs="宋体"/>
      <w:b/>
      <w:bCs/>
      <w:color w:val="000000"/>
      <w:kern w:val="0"/>
      <w:sz w:val="20"/>
      <w:szCs w:val="20"/>
    </w:rPr>
  </w:style>
  <w:style w:type="paragraph" w:customStyle="1" w:styleId="141">
    <w:name w:val="xl64"/>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left"/>
      <w:textAlignment w:val="center"/>
    </w:pPr>
    <w:rPr>
      <w:rFonts w:cs="宋体"/>
      <w:kern w:val="0"/>
      <w:sz w:val="20"/>
      <w:szCs w:val="20"/>
    </w:rPr>
  </w:style>
  <w:style w:type="paragraph" w:customStyle="1" w:styleId="142">
    <w:name w:val="xl65"/>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center"/>
      <w:textAlignment w:val="center"/>
    </w:pPr>
    <w:rPr>
      <w:rFonts w:cs="宋体"/>
      <w:kern w:val="0"/>
      <w:sz w:val="20"/>
      <w:szCs w:val="20"/>
    </w:rPr>
  </w:style>
  <w:style w:type="paragraph" w:customStyle="1" w:styleId="143">
    <w:name w:val="xl66"/>
    <w:basedOn w:val="1"/>
    <w:uiPriority w:val="0"/>
    <w:pPr>
      <w:widowControl/>
      <w:pBdr>
        <w:top w:val="single" w:color="FFFFFF" w:sz="8" w:space="0"/>
        <w:left w:val="single" w:color="FFFFFF" w:sz="8" w:space="0"/>
        <w:bottom w:val="single" w:color="FFFFFF" w:sz="8" w:space="0"/>
        <w:right w:val="single" w:color="FFFFFF" w:sz="8" w:space="0"/>
      </w:pBdr>
      <w:shd w:val="clear" w:color="000000" w:fill="C5D5E9"/>
      <w:spacing w:before="100" w:beforeAutospacing="1" w:after="100" w:afterAutospacing="1" w:line="240" w:lineRule="auto"/>
      <w:jc w:val="left"/>
      <w:textAlignment w:val="center"/>
    </w:pPr>
    <w:rPr>
      <w:rFonts w:cs="宋体"/>
      <w:kern w:val="0"/>
      <w:sz w:val="20"/>
      <w:szCs w:val="20"/>
    </w:rPr>
  </w:style>
  <w:style w:type="paragraph" w:customStyle="1" w:styleId="144">
    <w:name w:val="xl67"/>
    <w:basedOn w:val="1"/>
    <w:uiPriority w:val="0"/>
    <w:pPr>
      <w:widowControl/>
      <w:pBdr>
        <w:top w:val="single" w:color="FFFFFF" w:sz="8" w:space="0"/>
        <w:left w:val="single" w:color="FFFFFF" w:sz="8" w:space="0"/>
        <w:bottom w:val="single" w:color="FFFFFF" w:sz="8" w:space="0"/>
        <w:right w:val="single" w:color="FFFFFF" w:sz="8" w:space="0"/>
      </w:pBdr>
      <w:shd w:val="clear" w:color="000000" w:fill="C5D5E9"/>
      <w:spacing w:before="100" w:beforeAutospacing="1" w:after="100" w:afterAutospacing="1" w:line="240" w:lineRule="auto"/>
      <w:jc w:val="center"/>
      <w:textAlignment w:val="center"/>
    </w:pPr>
    <w:rPr>
      <w:rFonts w:cs="宋体"/>
      <w:kern w:val="0"/>
      <w:sz w:val="20"/>
      <w:szCs w:val="20"/>
    </w:rPr>
  </w:style>
  <w:style w:type="paragraph" w:customStyle="1" w:styleId="145">
    <w:name w:val="xl68"/>
    <w:basedOn w:val="1"/>
    <w:uiPriority w:val="0"/>
    <w:pPr>
      <w:widowControl/>
      <w:pBdr>
        <w:top w:val="single" w:color="FFFFFF" w:sz="8" w:space="0"/>
        <w:left w:val="single" w:color="FFFFFF" w:sz="8" w:space="0"/>
        <w:bottom w:val="single" w:color="FFFFFF" w:sz="8" w:space="0"/>
        <w:right w:val="single" w:color="FFFFFF" w:sz="8" w:space="0"/>
      </w:pBdr>
      <w:shd w:val="clear" w:color="000000" w:fill="F6F8FC"/>
      <w:spacing w:before="100" w:beforeAutospacing="1" w:after="100" w:afterAutospacing="1" w:line="240" w:lineRule="auto"/>
      <w:jc w:val="left"/>
      <w:textAlignment w:val="center"/>
    </w:pPr>
    <w:rPr>
      <w:rFonts w:cs="宋体"/>
      <w:kern w:val="0"/>
      <w:sz w:val="20"/>
      <w:szCs w:val="20"/>
    </w:rPr>
  </w:style>
  <w:style w:type="character" w:customStyle="1" w:styleId="146">
    <w:name w:val="Smart Link"/>
    <w:semiHidden/>
    <w:unhideWhenUsed/>
    <w:uiPriority w:val="99"/>
    <w:rPr>
      <w:color w:val="605E5C"/>
      <w:shd w:val="clear" w:color="auto" w:fill="E1DFDD"/>
    </w:rPr>
  </w:style>
  <w:style w:type="character" w:customStyle="1" w:styleId="147">
    <w:name w:val="标题 1 字符"/>
    <w:uiPriority w:val="0"/>
    <w:rPr>
      <w:rFonts w:eastAsia="宋体"/>
      <w:b/>
      <w:kern w:val="2"/>
      <w:sz w:val="44"/>
      <w:szCs w:val="44"/>
      <w:lang w:val="en-US" w:eastAsia="zh-CN" w:bidi="ar-SA"/>
    </w:rPr>
  </w:style>
  <w:style w:type="character" w:customStyle="1" w:styleId="148">
    <w:name w:val="正文文本缩进 字符"/>
    <w:locked/>
    <w:uiPriority w:val="0"/>
    <w:rPr>
      <w:rFonts w:eastAsia="宋体"/>
      <w:kern w:val="2"/>
      <w:sz w:val="21"/>
      <w:szCs w:val="24"/>
      <w:lang w:val="en-US" w:eastAsia="zh-CN" w:bidi="ar-SA"/>
    </w:rPr>
  </w:style>
  <w:style w:type="character" w:customStyle="1" w:styleId="149">
    <w:name w:val="标题 3 字符"/>
    <w:uiPriority w:val="0"/>
    <w:rPr>
      <w:rFonts w:ascii="黑体" w:hAnsi="黑体" w:eastAsia="宋体" w:cs="黑体"/>
      <w:b/>
      <w:kern w:val="2"/>
      <w:sz w:val="21"/>
      <w:szCs w:val="32"/>
      <w:lang w:val="en-US" w:eastAsia="zh-CN" w:bidi="ar-SA"/>
    </w:rPr>
  </w:style>
  <w:style w:type="character" w:customStyle="1" w:styleId="150">
    <w:name w:val="页脚 字符"/>
    <w:uiPriority w:val="99"/>
    <w:rPr>
      <w:kern w:val="2"/>
      <w:sz w:val="18"/>
      <w:szCs w:val="18"/>
    </w:rPr>
  </w:style>
  <w:style w:type="character" w:customStyle="1" w:styleId="151">
    <w:name w:val="图表目录 字符"/>
    <w:uiPriority w:val="99"/>
    <w:rPr>
      <w:kern w:val="2"/>
      <w:sz w:val="21"/>
      <w:szCs w:val="24"/>
    </w:rPr>
  </w:style>
  <w:style w:type="character" w:customStyle="1" w:styleId="152">
    <w:name w:val="题注 字符1"/>
    <w:uiPriority w:val="0"/>
    <w:rPr>
      <w:rFonts w:ascii="Calibri" w:hAnsi="Calibri" w:eastAsia="Calibri" w:cs="黑体"/>
      <w:b/>
      <w:kern w:val="2"/>
      <w:sz w:val="18"/>
      <w:szCs w:val="18"/>
    </w:rPr>
  </w:style>
  <w:style w:type="character" w:customStyle="1" w:styleId="153">
    <w:name w:val="脚注文本 字符"/>
    <w:semiHidden/>
    <w:uiPriority w:val="0"/>
    <w:rPr>
      <w:kern w:val="2"/>
      <w:sz w:val="18"/>
      <w:szCs w:val="18"/>
    </w:rPr>
  </w:style>
  <w:style w:type="character" w:customStyle="1" w:styleId="154">
    <w:name w:val="批注文字 字符1"/>
    <w:uiPriority w:val="99"/>
    <w:rPr>
      <w:kern w:val="2"/>
      <w:sz w:val="21"/>
      <w:szCs w:val="24"/>
    </w:rPr>
  </w:style>
  <w:style w:type="character" w:customStyle="1" w:styleId="155">
    <w:name w:val="标题 2 字符"/>
    <w:uiPriority w:val="0"/>
    <w:rPr>
      <w:rFonts w:ascii="黑体" w:hAnsi="黑体" w:cs="黑体"/>
      <w:b/>
      <w:kern w:val="2"/>
      <w:sz w:val="32"/>
      <w:szCs w:val="32"/>
    </w:rPr>
  </w:style>
  <w:style w:type="character" w:customStyle="1" w:styleId="156">
    <w:name w:val="题注 Char1"/>
    <w:uiPriority w:val="0"/>
    <w:rPr>
      <w:rFonts w:ascii="Calibri" w:hAnsi="Calibri" w:eastAsia="Calibri" w:cs="黑体"/>
      <w:b/>
      <w:sz w:val="18"/>
      <w:szCs w:val="18"/>
    </w:rPr>
  </w:style>
  <w:style w:type="character" w:customStyle="1" w:styleId="157">
    <w:name w:val="批注文字 Char1"/>
    <w:uiPriority w:val="99"/>
    <w:rPr>
      <w:szCs w:val="24"/>
    </w:rPr>
  </w:style>
  <w:style w:type="paragraph" w:customStyle="1" w:styleId="158">
    <w:name w:val="MycosHeader1"/>
    <w:basedOn w:val="3"/>
    <w:next w:val="1"/>
    <w:uiPriority w:val="0"/>
    <w:pPr>
      <w:widowControl/>
    </w:pPr>
  </w:style>
  <w:style w:type="paragraph" w:customStyle="1" w:styleId="159">
    <w:name w:val="MycosHeader2"/>
    <w:basedOn w:val="4"/>
    <w:uiPriority w:val="0"/>
    <w:rPr>
      <w:rFonts w:ascii="Calibri" w:hAnsi="Calibri"/>
    </w:rPr>
  </w:style>
  <w:style w:type="paragraph" w:customStyle="1" w:styleId="160">
    <w:name w:val="MycosHeader3"/>
    <w:basedOn w:val="5"/>
    <w:uiPriority w:val="0"/>
    <w:rPr>
      <w:rFonts w:ascii="Calibri" w:hAnsi="Calibri" w:cs="Calibri"/>
    </w:rPr>
  </w:style>
  <w:style w:type="paragraph" w:customStyle="1" w:styleId="161">
    <w:name w:val="MycosHeader4"/>
    <w:basedOn w:val="5"/>
    <w:uiPriority w:val="0"/>
    <w:rPr>
      <w:rFonts w:ascii="Calibri" w:hAnsi="Calibri" w:cs="Calibri"/>
    </w:rPr>
  </w:style>
  <w:style w:type="paragraph" w:customStyle="1" w:styleId="162">
    <w:name w:val="MycosHeader5"/>
    <w:basedOn w:val="5"/>
    <w:uiPriority w:val="0"/>
    <w:rPr>
      <w:rFonts w:ascii="Calibri" w:hAnsi="Calibri" w:cs="Calibri"/>
    </w:rPr>
  </w:style>
  <w:style w:type="paragraph" w:customStyle="1" w:styleId="163">
    <w:name w:val="MycosCaption"/>
    <w:basedOn w:val="22"/>
    <w:uiPriority w:val="0"/>
    <w:pPr>
      <w:keepNext/>
    </w:pPr>
    <w:rPr>
      <w:rFonts w:eastAsia="宋体"/>
    </w:rPr>
  </w:style>
  <w:style w:type="paragraph" w:customStyle="1" w:styleId="164">
    <w:name w:val="MycosDescription"/>
    <w:next w:val="34"/>
    <w:uiPriority w:val="0"/>
    <w:rPr>
      <w:rFonts w:ascii="Calibri" w:hAnsi="Calibri" w:eastAsia="宋体" w:cs="Calibri"/>
      <w:sz w:val="21"/>
      <w:lang w:val="en-US" w:eastAsia="zh-CN" w:bidi="ar-SA"/>
    </w:rPr>
  </w:style>
  <w:style w:type="paragraph" w:customStyle="1" w:styleId="165">
    <w:name w:val="MycosNote"/>
    <w:uiPriority w:val="0"/>
    <w:rPr>
      <w:rFonts w:ascii="Calibri" w:hAnsi="Calibri" w:eastAsia="宋体" w:cs="Calibri"/>
      <w:sz w:val="18"/>
      <w:lang w:val="en-US" w:eastAsia="zh-CN" w:bidi="ar-SA"/>
    </w:rPr>
  </w:style>
  <w:style w:type="character" w:customStyle="1" w:styleId="166">
    <w:name w:val="正文文本 字符"/>
    <w:link w:val="34"/>
    <w:uiPriority w:val="0"/>
    <w:rPr>
      <w:kern w:val="2"/>
      <w:sz w:val="21"/>
      <w:szCs w:val="24"/>
    </w:rPr>
  </w:style>
  <w:style w:type="table" w:customStyle="1" w:styleId="167">
    <w:name w:val="Mycos Format Colorful Table"/>
    <w:basedOn w:val="88"/>
    <w:uiPriority w:val="0"/>
    <w:tblPr>
      <w:tblBorders>
        <w:top w:val="single" w:color="9FDFFF" w:sz="8" w:space="0"/>
        <w:left w:val="single" w:color="9FDFFF" w:sz="8" w:space="0"/>
        <w:bottom w:val="single" w:color="9FDFFF" w:sz="8" w:space="0"/>
        <w:right w:val="single" w:color="9FDFFF" w:sz="8" w:space="0"/>
        <w:insideH w:val="single" w:color="9FDFFF" w:sz="8" w:space="0"/>
        <w:insideV w:val="single" w:color="9FDFFF" w:sz="8" w:space="0"/>
      </w:tblBorders>
    </w:tblPr>
    <w:tcPr>
      <w:shd w:val="clear" w:color="auto" w:fill="auto"/>
    </w:tcPr>
    <w:tblStylePr w:type="firstRow">
      <w:pPr>
        <w:jc w:val="center"/>
      </w:pPr>
      <w:rPr>
        <w:b/>
        <w:color w:val="FFFFFF"/>
      </w:r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emf"/><Relationship Id="rId47" Type="http://schemas.openxmlformats.org/officeDocument/2006/relationships/image" Target="media/image40.emf"/><Relationship Id="rId46" Type="http://schemas.openxmlformats.org/officeDocument/2006/relationships/image" Target="media/image39.emf"/><Relationship Id="rId45" Type="http://schemas.openxmlformats.org/officeDocument/2006/relationships/image" Target="media/image38.emf"/><Relationship Id="rId44" Type="http://schemas.openxmlformats.org/officeDocument/2006/relationships/image" Target="media/image37.emf"/><Relationship Id="rId43" Type="http://schemas.openxmlformats.org/officeDocument/2006/relationships/image" Target="media/image36.emf"/><Relationship Id="rId42" Type="http://schemas.openxmlformats.org/officeDocument/2006/relationships/image" Target="media/image35.emf"/><Relationship Id="rId41" Type="http://schemas.openxmlformats.org/officeDocument/2006/relationships/image" Target="media/image34.emf"/><Relationship Id="rId40" Type="http://schemas.openxmlformats.org/officeDocument/2006/relationships/image" Target="media/image33.emf"/><Relationship Id="rId4" Type="http://schemas.openxmlformats.org/officeDocument/2006/relationships/endnotes" Target="endnotes.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png"/><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1D626C-8F3A-4A1A-AF91-69020252F1D1}">
  <ds:schemaRefs/>
</ds:datastoreItem>
</file>

<file path=docProps/app.xml><?xml version="1.0" encoding="utf-8"?>
<Properties xmlns="http://schemas.openxmlformats.org/officeDocument/2006/extended-properties" xmlns:vt="http://schemas.openxmlformats.org/officeDocument/2006/docPropsVTypes">
  <Template>Normal.dotm</Template>
  <Pages>1</Pages>
  <Words>3293</Words>
  <Characters>18773</Characters>
  <Lines>156</Lines>
  <Paragraphs>44</Paragraphs>
  <TotalTime>21</TotalTime>
  <ScaleCrop>false</ScaleCrop>
  <LinksUpToDate>false</LinksUpToDate>
  <CharactersWithSpaces>22022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2024-01-09T10:21:00Z</dcterms:created>
  <dc:creator>MyCOS</dc:creator>
  <cp:lastModifiedBy>范范</cp:lastModifiedBy>
  <cp:lastPrinted>2023-12-19T07:43:00Z</cp:lastPrinted>
  <dcterms:modified xsi:type="dcterms:W3CDTF">2024-01-11T03:07:56Z</dcterms:modified>
  <dc:title>MyCOS</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B6CCB019D9CF4EE6A8A879E280FA49EC_12</vt:lpwstr>
  </property>
</Properties>
</file>