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1D7C3" w14:textId="4D598CB7" w:rsidR="00E30DA7" w:rsidRDefault="00000000">
      <w:pPr>
        <w:spacing w:line="360" w:lineRule="auto"/>
        <w:jc w:val="center"/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t>北京第二外国语学院攻读硕士学位研究生入学考试</w:t>
      </w:r>
    </w:p>
    <w:p w14:paraId="17A4D67A" w14:textId="77777777" w:rsidR="00E30DA7" w:rsidRDefault="00000000">
      <w:pPr>
        <w:snapToGrid w:val="0"/>
        <w:spacing w:line="360" w:lineRule="auto"/>
        <w:jc w:val="center"/>
        <w:rPr>
          <w:rFonts w:ascii="宋体"/>
          <w:b/>
          <w:sz w:val="44"/>
          <w:szCs w:val="44"/>
        </w:rPr>
      </w:pPr>
      <w:r>
        <w:rPr>
          <w:rFonts w:ascii="宋体" w:hint="eastAsia"/>
          <w:b/>
          <w:sz w:val="44"/>
          <w:szCs w:val="44"/>
        </w:rPr>
        <w:t>《金融学综合》考试大纲</w:t>
      </w:r>
    </w:p>
    <w:p w14:paraId="384142FF" w14:textId="77777777" w:rsidR="00E30DA7" w:rsidRDefault="00000000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ascii="宋体" w:hAnsi="宋体" w:hint="eastAsia"/>
          <w:b/>
          <w:sz w:val="28"/>
          <w:szCs w:val="28"/>
        </w:rPr>
        <w:t>一、适用的招生专业</w:t>
      </w:r>
    </w:p>
    <w:p w14:paraId="5A9AEC75" w14:textId="55916A6B" w:rsidR="00E30DA7" w:rsidRDefault="0000000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金融</w:t>
      </w:r>
    </w:p>
    <w:p w14:paraId="0F32C1B8" w14:textId="77777777" w:rsidR="00E30DA7" w:rsidRDefault="00000000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  二、考试的基本要求</w:t>
      </w:r>
    </w:p>
    <w:p w14:paraId="328666BE" w14:textId="77777777" w:rsidR="00E30DA7" w:rsidRDefault="0000000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采用闭卷考试，满分150分。</w:t>
      </w:r>
      <w:r>
        <w:rPr>
          <w:rFonts w:ascii="宋体" w:hAnsi="宋体"/>
          <w:sz w:val="24"/>
        </w:rPr>
        <w:t>考试时间1</w:t>
      </w:r>
      <w:r>
        <w:rPr>
          <w:rFonts w:ascii="宋体" w:hAnsi="宋体" w:hint="eastAsia"/>
          <w:sz w:val="24"/>
        </w:rPr>
        <w:t>8</w:t>
      </w:r>
      <w:r>
        <w:rPr>
          <w:rFonts w:ascii="宋体" w:hAnsi="宋体"/>
          <w:sz w:val="24"/>
        </w:rPr>
        <w:t>0分钟。</w:t>
      </w:r>
    </w:p>
    <w:p w14:paraId="20B287B4" w14:textId="77777777" w:rsidR="00E30DA7" w:rsidRDefault="00000000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  三、试卷结构</w:t>
      </w:r>
    </w:p>
    <w:p w14:paraId="5C899C85" w14:textId="0B9C46D8" w:rsidR="00E30DA7" w:rsidRDefault="00000000">
      <w:pPr>
        <w:spacing w:line="360" w:lineRule="auto"/>
        <w:ind w:firstLine="480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1.名词解释  （</w:t>
      </w:r>
      <w:r w:rsidR="00707E6A">
        <w:rPr>
          <w:rFonts w:ascii="宋体" w:hAnsi="宋体" w:hint="eastAsia"/>
          <w:kern w:val="0"/>
          <w:sz w:val="24"/>
        </w:rPr>
        <w:t>约</w:t>
      </w:r>
      <w:r w:rsidR="009E568D">
        <w:rPr>
          <w:rFonts w:ascii="宋体" w:hAnsi="宋体" w:hint="eastAsia"/>
          <w:kern w:val="0"/>
          <w:sz w:val="24"/>
        </w:rPr>
        <w:t>30</w:t>
      </w:r>
      <w:r>
        <w:rPr>
          <w:rFonts w:ascii="宋体" w:hAnsi="宋体" w:hint="eastAsia"/>
          <w:kern w:val="0"/>
          <w:sz w:val="24"/>
        </w:rPr>
        <w:t>分）</w:t>
      </w:r>
    </w:p>
    <w:p w14:paraId="5E4A4D8E" w14:textId="5F6377A8" w:rsidR="00E30DA7" w:rsidRDefault="00000000">
      <w:pPr>
        <w:spacing w:line="360" w:lineRule="auto"/>
        <w:ind w:firstLine="480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2.判断题    （</w:t>
      </w:r>
      <w:r w:rsidR="00707E6A">
        <w:rPr>
          <w:rFonts w:ascii="宋体" w:hAnsi="宋体" w:hint="eastAsia"/>
          <w:kern w:val="0"/>
          <w:sz w:val="24"/>
        </w:rPr>
        <w:t>约</w:t>
      </w:r>
      <w:r w:rsidR="009E568D">
        <w:rPr>
          <w:rFonts w:ascii="宋体" w:hAnsi="宋体" w:hint="eastAsia"/>
          <w:kern w:val="0"/>
          <w:sz w:val="24"/>
        </w:rPr>
        <w:t>20</w:t>
      </w:r>
      <w:r>
        <w:rPr>
          <w:rFonts w:ascii="宋体" w:hAnsi="宋体" w:hint="eastAsia"/>
          <w:kern w:val="0"/>
          <w:sz w:val="24"/>
        </w:rPr>
        <w:t>分）</w:t>
      </w:r>
    </w:p>
    <w:p w14:paraId="5340FD3E" w14:textId="1562A040" w:rsidR="00E30DA7" w:rsidRDefault="00000000">
      <w:pPr>
        <w:spacing w:line="360" w:lineRule="auto"/>
        <w:ind w:firstLine="480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3.计算题     (</w:t>
      </w:r>
      <w:r w:rsidR="00707E6A">
        <w:rPr>
          <w:rFonts w:ascii="宋体" w:hAnsi="宋体" w:hint="eastAsia"/>
          <w:kern w:val="0"/>
          <w:sz w:val="24"/>
        </w:rPr>
        <w:t>约</w:t>
      </w:r>
      <w:r>
        <w:rPr>
          <w:rFonts w:ascii="宋体" w:hAnsi="宋体" w:hint="eastAsia"/>
          <w:kern w:val="0"/>
          <w:sz w:val="24"/>
        </w:rPr>
        <w:t>2</w:t>
      </w:r>
      <w:r>
        <w:rPr>
          <w:rFonts w:ascii="宋体" w:hAnsi="宋体"/>
          <w:kern w:val="0"/>
          <w:sz w:val="24"/>
        </w:rPr>
        <w:t>0</w:t>
      </w:r>
      <w:r>
        <w:rPr>
          <w:rFonts w:ascii="宋体" w:hAnsi="宋体" w:hint="eastAsia"/>
          <w:kern w:val="0"/>
          <w:sz w:val="24"/>
        </w:rPr>
        <w:t xml:space="preserve">分) </w:t>
      </w:r>
    </w:p>
    <w:p w14:paraId="679E0A0D" w14:textId="6A5222A7" w:rsidR="00E30DA7" w:rsidRDefault="00000000">
      <w:pPr>
        <w:spacing w:line="360" w:lineRule="auto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 xml:space="preserve">    </w:t>
      </w:r>
      <w:r w:rsidR="009774A4">
        <w:rPr>
          <w:rFonts w:ascii="宋体" w:hAnsi="宋体" w:hint="eastAsia"/>
          <w:kern w:val="0"/>
          <w:sz w:val="24"/>
        </w:rPr>
        <w:t>4</w:t>
      </w:r>
      <w:r>
        <w:rPr>
          <w:rFonts w:ascii="宋体" w:hAnsi="宋体" w:hint="eastAsia"/>
          <w:kern w:val="0"/>
          <w:sz w:val="24"/>
        </w:rPr>
        <w:t>.简答题    （</w:t>
      </w:r>
      <w:r w:rsidR="00707E6A">
        <w:rPr>
          <w:rFonts w:ascii="宋体" w:hAnsi="宋体" w:hint="eastAsia"/>
          <w:kern w:val="0"/>
          <w:sz w:val="24"/>
        </w:rPr>
        <w:t>约</w:t>
      </w:r>
      <w:r w:rsidR="009E568D">
        <w:rPr>
          <w:rFonts w:ascii="宋体" w:hAnsi="宋体" w:hint="eastAsia"/>
          <w:kern w:val="0"/>
          <w:sz w:val="24"/>
        </w:rPr>
        <w:t>50</w:t>
      </w:r>
      <w:r>
        <w:rPr>
          <w:rFonts w:ascii="宋体" w:hAnsi="宋体" w:hint="eastAsia"/>
          <w:kern w:val="0"/>
          <w:sz w:val="24"/>
        </w:rPr>
        <w:t>分）</w:t>
      </w:r>
    </w:p>
    <w:p w14:paraId="410642F7" w14:textId="5E8B1AEA" w:rsidR="00E30DA7" w:rsidRDefault="00000000">
      <w:pPr>
        <w:spacing w:line="360" w:lineRule="auto"/>
        <w:ind w:firstLineChars="100" w:firstLine="240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 xml:space="preserve">  </w:t>
      </w:r>
      <w:r w:rsidR="009774A4">
        <w:rPr>
          <w:rFonts w:ascii="宋体" w:hAnsi="宋体" w:hint="eastAsia"/>
          <w:kern w:val="0"/>
          <w:sz w:val="24"/>
        </w:rPr>
        <w:t>5</w:t>
      </w:r>
      <w:r>
        <w:rPr>
          <w:rFonts w:ascii="宋体" w:hAnsi="宋体" w:hint="eastAsia"/>
          <w:kern w:val="0"/>
          <w:sz w:val="24"/>
        </w:rPr>
        <w:t>.论述分析题（</w:t>
      </w:r>
      <w:r w:rsidR="00707E6A">
        <w:rPr>
          <w:rFonts w:ascii="宋体" w:hAnsi="宋体" w:hint="eastAsia"/>
          <w:kern w:val="0"/>
          <w:sz w:val="24"/>
        </w:rPr>
        <w:t>约</w:t>
      </w:r>
      <w:r>
        <w:rPr>
          <w:rFonts w:ascii="宋体" w:hAnsi="宋体" w:hint="eastAsia"/>
          <w:kern w:val="0"/>
          <w:sz w:val="24"/>
        </w:rPr>
        <w:t>30分）</w:t>
      </w:r>
    </w:p>
    <w:p w14:paraId="570A1E58" w14:textId="77777777" w:rsidR="00E30DA7" w:rsidRDefault="00000000">
      <w:pPr>
        <w:spacing w:line="360" w:lineRule="auto"/>
        <w:ind w:firstLineChars="196" w:firstLine="551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四、考试的主要要求及内容</w:t>
      </w:r>
    </w:p>
    <w:p w14:paraId="40B4CD05" w14:textId="5586A2FD" w:rsidR="00BE2CB8" w:rsidRDefault="00000000">
      <w:pPr>
        <w:snapToGrid w:val="0"/>
        <w:spacing w:line="360" w:lineRule="auto"/>
        <w:ind w:firstLine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《</w:t>
      </w:r>
      <w:r>
        <w:rPr>
          <w:rFonts w:ascii="宋体" w:hAnsi="宋体" w:hint="eastAsia"/>
          <w:sz w:val="24"/>
        </w:rPr>
        <w:t>投资学</w:t>
      </w:r>
      <w:r>
        <w:rPr>
          <w:rFonts w:ascii="宋体" w:hAnsi="宋体"/>
          <w:sz w:val="24"/>
        </w:rPr>
        <w:t>》</w:t>
      </w:r>
      <w:r>
        <w:rPr>
          <w:rFonts w:ascii="宋体" w:hAnsi="宋体" w:hint="eastAsia"/>
          <w:sz w:val="24"/>
        </w:rPr>
        <w:t>部分</w:t>
      </w:r>
      <w:r>
        <w:rPr>
          <w:rFonts w:ascii="宋体" w:hAnsi="宋体"/>
          <w:sz w:val="24"/>
        </w:rPr>
        <w:t>考试</w:t>
      </w:r>
      <w:r>
        <w:rPr>
          <w:rFonts w:ascii="宋体" w:hAnsi="宋体" w:hint="eastAsia"/>
          <w:sz w:val="24"/>
        </w:rPr>
        <w:t>着重考察考生对下列理论和知识的掌握程度以及运用</w:t>
      </w:r>
      <w:r w:rsidR="00130651">
        <w:rPr>
          <w:rFonts w:ascii="宋体" w:hAnsi="宋体" w:hint="eastAsia"/>
          <w:sz w:val="24"/>
        </w:rPr>
        <w:t>应用相关理论知识</w:t>
      </w:r>
      <w:r>
        <w:rPr>
          <w:rFonts w:ascii="宋体" w:hAnsi="宋体" w:hint="eastAsia"/>
          <w:sz w:val="24"/>
        </w:rPr>
        <w:t>分析解决实际问题的能力：（1）资本市场的产品、投资者和市场运行的基础知识</w:t>
      </w:r>
      <w:r w:rsidR="00BE2CB8">
        <w:rPr>
          <w:rFonts w:ascii="宋体" w:hAnsi="宋体" w:hint="eastAsia"/>
          <w:sz w:val="24"/>
        </w:rPr>
        <w:t>；</w:t>
      </w:r>
      <w:r>
        <w:rPr>
          <w:rFonts w:ascii="宋体" w:hAnsi="宋体" w:hint="eastAsia"/>
          <w:sz w:val="24"/>
        </w:rPr>
        <w:t>（2）现代投资学的基本理论和方法</w:t>
      </w:r>
      <w:r w:rsidR="00185B7F">
        <w:rPr>
          <w:rFonts w:ascii="宋体" w:hAnsi="宋体" w:hint="eastAsia"/>
          <w:sz w:val="24"/>
        </w:rPr>
        <w:t>；</w:t>
      </w:r>
      <w:r>
        <w:rPr>
          <w:rFonts w:ascii="宋体" w:hAnsi="宋体" w:hint="eastAsia"/>
          <w:sz w:val="24"/>
        </w:rPr>
        <w:t>（3）期货、期权等金融衍生品的基础知识。</w:t>
      </w:r>
    </w:p>
    <w:p w14:paraId="4164C9B5" w14:textId="13CE0E56" w:rsidR="00E30DA7" w:rsidRDefault="00000000" w:rsidP="001F476C">
      <w:pPr>
        <w:snapToGrid w:val="0"/>
        <w:spacing w:line="360" w:lineRule="auto"/>
        <w:ind w:firstLine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《公司金融学》部分着重考察</w:t>
      </w:r>
      <w:r w:rsidR="00E9104D">
        <w:rPr>
          <w:rFonts w:ascii="宋体" w:hAnsi="宋体" w:hint="eastAsia"/>
          <w:sz w:val="24"/>
        </w:rPr>
        <w:t>考生</w:t>
      </w:r>
      <w:r>
        <w:rPr>
          <w:rFonts w:ascii="宋体" w:hAnsi="宋体" w:hint="eastAsia"/>
          <w:sz w:val="24"/>
        </w:rPr>
        <w:t>公司理财基本原则、财务分析与公司理财、资本预算和长期财务决策。</w:t>
      </w:r>
    </w:p>
    <w:p w14:paraId="5ED400A5" w14:textId="77777777" w:rsidR="001F476C" w:rsidRPr="00AB2851" w:rsidRDefault="001F476C" w:rsidP="001F476C">
      <w:pPr>
        <w:snapToGrid w:val="0"/>
        <w:spacing w:line="360" w:lineRule="auto"/>
        <w:ind w:firstLine="420"/>
        <w:rPr>
          <w:rFonts w:ascii="宋体" w:hAnsi="宋体"/>
          <w:b/>
          <w:sz w:val="24"/>
        </w:rPr>
      </w:pPr>
    </w:p>
    <w:p w14:paraId="0424E0C0" w14:textId="7022635D" w:rsidR="00E30DA7" w:rsidRPr="0002020B" w:rsidRDefault="0002020B" w:rsidP="0002020B">
      <w:pPr>
        <w:snapToGrid w:val="0"/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第一部分：</w:t>
      </w:r>
      <w:r w:rsidR="00DF2526" w:rsidRPr="0002020B">
        <w:rPr>
          <w:rFonts w:ascii="宋体" w:hAnsi="宋体" w:hint="eastAsia"/>
          <w:b/>
          <w:bCs/>
          <w:sz w:val="24"/>
        </w:rPr>
        <w:t>投资学</w:t>
      </w:r>
    </w:p>
    <w:p w14:paraId="19EC5FC2" w14:textId="1578E61C" w:rsidR="00E30DA7" w:rsidRDefault="00781A4F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1.资本市场的运行</w:t>
      </w:r>
    </w:p>
    <w:p w14:paraId="217784B7" w14:textId="376BEF1D" w:rsidR="00E30DA7" w:rsidRDefault="00000000" w:rsidP="0019532A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金融市场的产品、资本市场的参与者、发行市场和流通市场、融资融券、股票的除权和复权</w:t>
      </w:r>
    </w:p>
    <w:p w14:paraId="779FB4FD" w14:textId="76494BEB" w:rsidR="00E30DA7" w:rsidRDefault="00781A4F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2.投资风险与收益</w:t>
      </w:r>
    </w:p>
    <w:p w14:paraId="12A6E9BA" w14:textId="77777777" w:rsidR="00E30DA7" w:rsidRDefault="00000000" w:rsidP="0019532A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投资风险、投资收益、风险与收益的关系</w:t>
      </w:r>
    </w:p>
    <w:p w14:paraId="4677F353" w14:textId="78837302" w:rsidR="00E30DA7" w:rsidRDefault="00781A4F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3.投资组合</w:t>
      </w:r>
    </w:p>
    <w:p w14:paraId="3C6BB118" w14:textId="169A421C" w:rsidR="00E30DA7" w:rsidRDefault="00000000" w:rsidP="0019532A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投资组合的风险、投资组合的收益、投资组合的可行集与有效集、投资组合的选择</w:t>
      </w:r>
    </w:p>
    <w:p w14:paraId="1BF83279" w14:textId="142A2DAC" w:rsidR="00E30DA7" w:rsidRDefault="002F7AFB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4.风险定价理论</w:t>
      </w:r>
    </w:p>
    <w:p w14:paraId="6456B7F7" w14:textId="77777777" w:rsidR="00E30DA7" w:rsidRDefault="00000000" w:rsidP="0019532A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资本资产定价模型、多因子模型、套利定价理论</w:t>
      </w:r>
    </w:p>
    <w:p w14:paraId="77A923E4" w14:textId="1D51A3F1" w:rsidR="00E30DA7" w:rsidRDefault="002F7AFB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5.股票的价值分析</w:t>
      </w:r>
    </w:p>
    <w:p w14:paraId="6359C150" w14:textId="77777777" w:rsidR="00E30DA7" w:rsidRDefault="00000000" w:rsidP="0019532A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股票的投资信息及分类、股票绝对价值评估、股票的相对价值评估</w:t>
      </w:r>
    </w:p>
    <w:p w14:paraId="3DA64676" w14:textId="7115676B" w:rsidR="00E30DA7" w:rsidRDefault="002F7AFB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6.债券投资分析</w:t>
      </w:r>
    </w:p>
    <w:p w14:paraId="3156AE01" w14:textId="77777777" w:rsidR="00E30DA7" w:rsidRDefault="00000000" w:rsidP="0019532A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债券估价、债券到期收益率与利率期限结构、债券久期及其运用</w:t>
      </w:r>
    </w:p>
    <w:p w14:paraId="03AF38FF" w14:textId="57700F64" w:rsidR="00E30DA7" w:rsidRDefault="002F7AFB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7.期货市场</w:t>
      </w:r>
    </w:p>
    <w:p w14:paraId="5AF3A5F4" w14:textId="77777777" w:rsidR="00E30DA7" w:rsidRDefault="00000000" w:rsidP="0019532A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期货及其交易机制、期货价格的确定、期货的功能、期货在投资中的运用</w:t>
      </w:r>
    </w:p>
    <w:p w14:paraId="77B79001" w14:textId="2B347406" w:rsidR="00E30DA7" w:rsidRDefault="002F7AFB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8.期权市场</w:t>
      </w:r>
    </w:p>
    <w:p w14:paraId="0B7763A1" w14:textId="77777777" w:rsidR="00E30DA7" w:rsidRDefault="00000000" w:rsidP="0019532A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期权合约要素及分类、美式看涨和看跌期权、欧式期权分析、期权的交易策略</w:t>
      </w:r>
    </w:p>
    <w:p w14:paraId="76FB0F15" w14:textId="4EB10079" w:rsidR="00E30DA7" w:rsidRPr="0002020B" w:rsidRDefault="0002020B" w:rsidP="0002020B">
      <w:pPr>
        <w:snapToGrid w:val="0"/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第二部分：</w:t>
      </w:r>
      <w:r w:rsidR="00DF2526" w:rsidRPr="0002020B">
        <w:rPr>
          <w:rFonts w:ascii="宋体" w:hAnsi="宋体" w:hint="eastAsia"/>
          <w:b/>
          <w:bCs/>
          <w:sz w:val="24"/>
        </w:rPr>
        <w:t>公司金融</w:t>
      </w:r>
    </w:p>
    <w:p w14:paraId="3C192B1D" w14:textId="5047081C" w:rsidR="00E30DA7" w:rsidRDefault="002F7AFB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1.公司理财概览</w:t>
      </w:r>
    </w:p>
    <w:p w14:paraId="5955ED95" w14:textId="77777777" w:rsidR="00E30DA7" w:rsidRDefault="00000000" w:rsidP="0019532A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企业组织形态、财务管理目标、代理问题与公司控制、从金融角度理解财务报表、自由现金流量</w:t>
      </w:r>
    </w:p>
    <w:p w14:paraId="4CB282B3" w14:textId="3D79006E" w:rsidR="00E30DA7" w:rsidRDefault="002F7AFB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2.财务报表与长期财务计划</w:t>
      </w:r>
    </w:p>
    <w:p w14:paraId="0B6542CD" w14:textId="77777777" w:rsidR="00E30DA7" w:rsidRDefault="00000000" w:rsidP="0019532A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财务报表分析、长期财务计划与增长</w:t>
      </w:r>
    </w:p>
    <w:p w14:paraId="27390EEA" w14:textId="6DBFF5F3" w:rsidR="00E30DA7" w:rsidRDefault="002F7AFB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3.未来现金流估值</w:t>
      </w:r>
    </w:p>
    <w:p w14:paraId="10B8F782" w14:textId="77777777" w:rsidR="00E30DA7" w:rsidRDefault="00000000" w:rsidP="0016025C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货币的时间价值、贴现现金流估值、利率与债券估价、股票估价</w:t>
      </w:r>
    </w:p>
    <w:p w14:paraId="61A9A04F" w14:textId="27D47A16" w:rsidR="00E30DA7" w:rsidRDefault="002F7AFB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4.资本预算</w:t>
      </w:r>
    </w:p>
    <w:p w14:paraId="6A9F4571" w14:textId="77777777" w:rsidR="00E30DA7" w:rsidRDefault="00000000" w:rsidP="0016025C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净现值和其他投资准则、资本性投资决策、项目分析与评估</w:t>
      </w:r>
    </w:p>
    <w:p w14:paraId="5E735806" w14:textId="6AB0F28B" w:rsidR="00E30DA7" w:rsidRDefault="002F7AFB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5.资本成本与长期财务政策</w:t>
      </w:r>
    </w:p>
    <w:p w14:paraId="6D25CFD0" w14:textId="77777777" w:rsidR="00E30DA7" w:rsidRDefault="00000000" w:rsidP="0019532A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资本成本概念与加权资本成本的计算、筹集资本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、财务杠杆与资本结构政策、股利与股利政策</w:t>
      </w:r>
    </w:p>
    <w:p w14:paraId="3E21A63A" w14:textId="77777777" w:rsidR="00E30DA7" w:rsidRDefault="00000000" w:rsidP="00FE0E26">
      <w:pPr>
        <w:spacing w:line="360" w:lineRule="auto"/>
        <w:ind w:firstLineChars="150" w:firstLine="42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</w:t>
      </w:r>
      <w:r>
        <w:rPr>
          <w:rFonts w:ascii="宋体" w:hAnsi="宋体"/>
          <w:b/>
          <w:sz w:val="28"/>
          <w:szCs w:val="28"/>
        </w:rPr>
        <w:t>、参考书目</w:t>
      </w:r>
    </w:p>
    <w:p w14:paraId="346F2F8A" w14:textId="47E02C6B" w:rsidR="00E30DA7" w:rsidRDefault="00000000" w:rsidP="0016025C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 贺显南《投资学原理及应用》（第五版）</w:t>
      </w:r>
      <w:r w:rsidR="0019532A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机械工业出版社</w:t>
      </w:r>
      <w:r w:rsidR="00BC58E6">
        <w:rPr>
          <w:rFonts w:ascii="宋体" w:hAnsi="宋体" w:hint="eastAsia"/>
          <w:sz w:val="24"/>
        </w:rPr>
        <w:t>，2024年。</w:t>
      </w:r>
    </w:p>
    <w:p w14:paraId="42CD21C5" w14:textId="7E14CF45" w:rsidR="00E30DA7" w:rsidRDefault="00000000" w:rsidP="0016025C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2. </w:t>
      </w:r>
      <w:r>
        <w:rPr>
          <w:rFonts w:ascii="宋体" w:hAnsi="宋体" w:hint="eastAsia"/>
          <w:sz w:val="24"/>
        </w:rPr>
        <w:t>罗斯《公司理财》（精要版、原书第1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版）</w:t>
      </w:r>
      <w:r w:rsidR="0019532A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机械工业出版社</w:t>
      </w:r>
      <w:r w:rsidR="00BC58E6">
        <w:rPr>
          <w:rFonts w:ascii="宋体" w:hAnsi="宋体" w:hint="eastAsia"/>
          <w:sz w:val="24"/>
        </w:rPr>
        <w:t>，2020年。</w:t>
      </w:r>
    </w:p>
    <w:sectPr w:rsidR="00E30DA7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FD3DA" w14:textId="77777777" w:rsidR="00B91BD5" w:rsidRDefault="00B91BD5">
      <w:r>
        <w:separator/>
      </w:r>
    </w:p>
  </w:endnote>
  <w:endnote w:type="continuationSeparator" w:id="0">
    <w:p w14:paraId="10E4D1F0" w14:textId="77777777" w:rsidR="00B91BD5" w:rsidRDefault="00B91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C3D83" w14:textId="77777777" w:rsidR="00E30DA7" w:rsidRDefault="00000000">
    <w:pPr>
      <w:pStyle w:val="16"/>
      <w:framePr w:wrap="around" w:vAnchor="text" w:hAnchor="margin" w:xAlign="center" w:y="1"/>
    </w:pPr>
    <w:r>
      <w:fldChar w:fldCharType="begin"/>
    </w:r>
    <w:r>
      <w:rPr>
        <w:rStyle w:val="1b"/>
      </w:rPr>
      <w:instrText xml:space="preserve">PAGE  </w:instrText>
    </w:r>
    <w:r>
      <w:fldChar w:fldCharType="end"/>
    </w:r>
  </w:p>
  <w:p w14:paraId="680528CC" w14:textId="77777777" w:rsidR="00E30DA7" w:rsidRDefault="00E30DA7">
    <w:pPr>
      <w:pStyle w:val="1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C959" w14:textId="77777777" w:rsidR="00E30DA7" w:rsidRDefault="00000000">
    <w:pPr>
      <w:pStyle w:val="16"/>
      <w:framePr w:wrap="around" w:vAnchor="text" w:hAnchor="margin" w:xAlign="center" w:y="1"/>
    </w:pPr>
    <w:r>
      <w:fldChar w:fldCharType="begin"/>
    </w:r>
    <w:r>
      <w:rPr>
        <w:rStyle w:val="1b"/>
      </w:rPr>
      <w:instrText xml:space="preserve">PAGE  </w:instrText>
    </w:r>
    <w:r>
      <w:fldChar w:fldCharType="separate"/>
    </w:r>
    <w:r>
      <w:rPr>
        <w:rStyle w:val="1b"/>
      </w:rPr>
      <w:t>3</w:t>
    </w:r>
    <w:r>
      <w:fldChar w:fldCharType="end"/>
    </w:r>
  </w:p>
  <w:p w14:paraId="10A797AD" w14:textId="77777777" w:rsidR="00E30DA7" w:rsidRDefault="00E30DA7">
    <w:pPr>
      <w:pStyle w:val="1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AD489" w14:textId="77777777" w:rsidR="00B91BD5" w:rsidRDefault="00B91BD5">
      <w:r>
        <w:separator/>
      </w:r>
    </w:p>
  </w:footnote>
  <w:footnote w:type="continuationSeparator" w:id="0">
    <w:p w14:paraId="4E5FB27E" w14:textId="77777777" w:rsidR="00B91BD5" w:rsidRDefault="00B91B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WI4ZDg0NjUyMTYyNWZhODIyMzdiMmVjOWZjZWFmNmMifQ=="/>
  </w:docVars>
  <w:rsids>
    <w:rsidRoot w:val="00E30DA7"/>
    <w:rsid w:val="0002020B"/>
    <w:rsid w:val="000B2917"/>
    <w:rsid w:val="000E4F9D"/>
    <w:rsid w:val="00130651"/>
    <w:rsid w:val="0016025C"/>
    <w:rsid w:val="00185B7F"/>
    <w:rsid w:val="0019532A"/>
    <w:rsid w:val="001F476C"/>
    <w:rsid w:val="002152A4"/>
    <w:rsid w:val="002C66C5"/>
    <w:rsid w:val="002F7AFB"/>
    <w:rsid w:val="003B4508"/>
    <w:rsid w:val="00487BB3"/>
    <w:rsid w:val="0051209F"/>
    <w:rsid w:val="00527B4A"/>
    <w:rsid w:val="00707E6A"/>
    <w:rsid w:val="00781A4F"/>
    <w:rsid w:val="0078699F"/>
    <w:rsid w:val="00842FE3"/>
    <w:rsid w:val="0093554F"/>
    <w:rsid w:val="009369D9"/>
    <w:rsid w:val="009774A4"/>
    <w:rsid w:val="009E568D"/>
    <w:rsid w:val="00A81162"/>
    <w:rsid w:val="00AB2851"/>
    <w:rsid w:val="00B91BD5"/>
    <w:rsid w:val="00BC58E6"/>
    <w:rsid w:val="00BE2CB8"/>
    <w:rsid w:val="00BE514F"/>
    <w:rsid w:val="00C62A68"/>
    <w:rsid w:val="00CE5195"/>
    <w:rsid w:val="00DF2526"/>
    <w:rsid w:val="00E30DA7"/>
    <w:rsid w:val="00E9104D"/>
    <w:rsid w:val="00F03B23"/>
    <w:rsid w:val="00F60607"/>
    <w:rsid w:val="00FE0E26"/>
    <w:rsid w:val="4EBA0BBA"/>
    <w:rsid w:val="7CB0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136F0F"/>
  <w15:docId w15:val="{393E1CEC-6A2B-41C8-BF9E-5E3304E5A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默认段落字体1"/>
    <w:rPr>
      <w:rFonts w:ascii="Times New Roman" w:eastAsia="宋体" w:hAnsi="Times New Roman"/>
    </w:rPr>
  </w:style>
  <w:style w:type="table" w:customStyle="1" w:styleId="10">
    <w:name w:val="普通表格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批注文字1"/>
    <w:basedOn w:val="a"/>
    <w:pPr>
      <w:jc w:val="left"/>
    </w:pPr>
  </w:style>
  <w:style w:type="paragraph" w:customStyle="1" w:styleId="12">
    <w:name w:val="称呼1"/>
    <w:basedOn w:val="a"/>
    <w:qFormat/>
    <w:rPr>
      <w:rFonts w:eastAsia="仿宋_GB2312"/>
      <w:sz w:val="28"/>
      <w:szCs w:val="28"/>
    </w:rPr>
  </w:style>
  <w:style w:type="paragraph" w:customStyle="1" w:styleId="13">
    <w:name w:val="结束语1"/>
    <w:basedOn w:val="a"/>
    <w:pPr>
      <w:ind w:leftChars="2100" w:left="100"/>
    </w:pPr>
    <w:rPr>
      <w:rFonts w:eastAsia="仿宋_GB2312"/>
      <w:sz w:val="28"/>
      <w:szCs w:val="28"/>
    </w:rPr>
  </w:style>
  <w:style w:type="paragraph" w:customStyle="1" w:styleId="14">
    <w:name w:val="日期1"/>
    <w:basedOn w:val="a"/>
    <w:qFormat/>
    <w:pPr>
      <w:ind w:leftChars="2500" w:left="100"/>
    </w:pPr>
  </w:style>
  <w:style w:type="paragraph" w:customStyle="1" w:styleId="15">
    <w:name w:val="批注框文本1"/>
    <w:basedOn w:val="a"/>
    <w:rPr>
      <w:sz w:val="18"/>
      <w:szCs w:val="18"/>
    </w:rPr>
  </w:style>
  <w:style w:type="paragraph" w:customStyle="1" w:styleId="16">
    <w:name w:val="页脚1"/>
    <w:basedOn w:val="a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customStyle="1" w:styleId="17">
    <w:name w:val="页眉1"/>
    <w:basedOn w:val="a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3">
    <w:name w:val="页眉 字符"/>
    <w:link w:val="17"/>
    <w:rPr>
      <w:rFonts w:ascii="Times New Roman" w:eastAsia="宋体" w:hAnsi="Times New Roman"/>
      <w:kern w:val="2"/>
      <w:sz w:val="18"/>
      <w:szCs w:val="18"/>
    </w:rPr>
  </w:style>
  <w:style w:type="paragraph" w:customStyle="1" w:styleId="18">
    <w:name w:val="普通(网站)1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9">
    <w:name w:val="批注主题1"/>
    <w:basedOn w:val="11"/>
    <w:rPr>
      <w:b/>
      <w:bCs/>
    </w:rPr>
  </w:style>
  <w:style w:type="character" w:customStyle="1" w:styleId="1a">
    <w:name w:val="要点1"/>
    <w:rPr>
      <w:rFonts w:ascii="Times New Roman" w:eastAsia="宋体" w:hAnsi="Times New Roman"/>
      <w:b/>
      <w:bCs/>
    </w:rPr>
  </w:style>
  <w:style w:type="character" w:customStyle="1" w:styleId="1b">
    <w:name w:val="页码1"/>
    <w:rPr>
      <w:rFonts w:ascii="Times New Roman" w:eastAsia="宋体" w:hAnsi="Times New Roman"/>
    </w:rPr>
  </w:style>
  <w:style w:type="character" w:customStyle="1" w:styleId="1c">
    <w:name w:val="批注引用1"/>
    <w:rPr>
      <w:rFonts w:ascii="Times New Roman" w:eastAsia="宋体" w:hAnsi="Times New Roman"/>
      <w:sz w:val="21"/>
      <w:szCs w:val="21"/>
    </w:rPr>
  </w:style>
  <w:style w:type="paragraph" w:styleId="a4">
    <w:name w:val="header"/>
    <w:basedOn w:val="a"/>
    <w:link w:val="1d"/>
    <w:rsid w:val="00487BB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d">
    <w:name w:val="页眉 字符1"/>
    <w:basedOn w:val="a0"/>
    <w:link w:val="a4"/>
    <w:rsid w:val="00487BB3"/>
    <w:rPr>
      <w:kern w:val="2"/>
      <w:sz w:val="18"/>
      <w:szCs w:val="18"/>
    </w:rPr>
  </w:style>
  <w:style w:type="paragraph" w:styleId="a5">
    <w:name w:val="footer"/>
    <w:basedOn w:val="a"/>
    <w:link w:val="a6"/>
    <w:rsid w:val="00487B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87BB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蚂蚁飞飞</dc:creator>
  <cp:lastModifiedBy>作者</cp:lastModifiedBy>
  <cp:revision>22</cp:revision>
  <dcterms:created xsi:type="dcterms:W3CDTF">2024-09-05T23:36:00Z</dcterms:created>
  <dcterms:modified xsi:type="dcterms:W3CDTF">2024-09-06T00:07:00Z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E9624D7DBBB94336A8408D32ECABC609_12</vt:lpwstr>
  </property>
</Properties>
</file>