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440" w:lineRule="exact"/>
        <w:jc w:val="both"/>
        <w:rPr>
          <w:rFonts w:ascii="仿宋_GB2312" w:hAnsi="仿宋_GB2312" w:eastAsia="仿宋_GB2312" w:cs="仿宋_GB2312"/>
          <w:sz w:val="28"/>
          <w:szCs w:val="28"/>
        </w:rPr>
      </w:pPr>
      <w:r>
        <w:rPr>
          <w:rFonts w:hint="eastAsia" w:ascii="方正小标宋简体" w:hAnsi="方正小标宋简体" w:eastAsia="方正小标宋简体" w:cs="方正小标宋简体"/>
          <w:sz w:val="36"/>
          <w:szCs w:val="36"/>
        </w:rPr>
        <w:t>福州大学城联合研究生院（天津大学）招生计划介绍</w:t>
      </w:r>
    </w:p>
    <w:p>
      <w:pPr>
        <w:adjustRightInd w:val="0"/>
        <w:snapToGrid w:val="0"/>
        <w:spacing w:before="156" w:beforeLines="50"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经教育部审批，天津大学在福州市参与建设福州大学城联合研究生院(简称联合研究生院)，拟招收全日制硕士研究生300人。</w:t>
      </w:r>
    </w:p>
    <w:p>
      <w:pPr>
        <w:keepNext w:val="0"/>
        <w:keepLines w:val="0"/>
        <w:pageBreakBefore w:val="0"/>
        <w:widowControl w:val="0"/>
        <w:kinsoku/>
        <w:wordWrap/>
        <w:overflowPunct/>
        <w:topLinePunct w:val="0"/>
        <w:autoSpaceDE/>
        <w:autoSpaceDN/>
        <w:bidi w:val="0"/>
        <w:adjustRightInd w:val="0"/>
        <w:snapToGrid w:val="0"/>
        <w:spacing w:after="157" w:afterLines="50" w:line="440" w:lineRule="exact"/>
        <w:ind w:firstLine="560" w:firstLineChars="200"/>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招生事项见下表：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5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tcPr>
          <w:p>
            <w:pPr>
              <w:keepNext w:val="0"/>
              <w:keepLines w:val="0"/>
              <w:pageBreakBefore w:val="0"/>
              <w:widowControl w:val="0"/>
              <w:kinsoku/>
              <w:wordWrap/>
              <w:overflowPunct/>
              <w:topLinePunct w:val="0"/>
              <w:autoSpaceDE/>
              <w:autoSpaceDN/>
              <w:bidi w:val="0"/>
              <w:adjustRightInd w:val="0"/>
              <w:snapToGrid w:val="0"/>
              <w:spacing w:line="240" w:lineRule="auto"/>
              <w:ind w:firstLine="562"/>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学籍</w:t>
            </w:r>
          </w:p>
        </w:tc>
        <w:tc>
          <w:tcPr>
            <w:tcW w:w="534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天津大学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学历层次</w:t>
            </w:r>
          </w:p>
        </w:tc>
        <w:tc>
          <w:tcPr>
            <w:tcW w:w="534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硕士（全日制，毕业证书及学位证书与本部一致）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tcPr>
          <w:p>
            <w:pPr>
              <w:keepNext w:val="0"/>
              <w:keepLines w:val="0"/>
              <w:pageBreakBefore w:val="0"/>
              <w:widowControl w:val="0"/>
              <w:kinsoku/>
              <w:wordWrap/>
              <w:overflowPunct/>
              <w:topLinePunct w:val="0"/>
              <w:autoSpaceDE/>
              <w:autoSpaceDN/>
              <w:bidi w:val="0"/>
              <w:adjustRightInd w:val="0"/>
              <w:snapToGrid w:val="0"/>
              <w:spacing w:line="240" w:lineRule="auto"/>
              <w:ind w:firstLine="562"/>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学费</w:t>
            </w:r>
          </w:p>
        </w:tc>
        <w:tc>
          <w:tcPr>
            <w:tcW w:w="534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8000元/生/学年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tcPr>
          <w:p>
            <w:pPr>
              <w:keepNext w:val="0"/>
              <w:keepLines w:val="0"/>
              <w:pageBreakBefore w:val="0"/>
              <w:widowControl w:val="0"/>
              <w:kinsoku/>
              <w:wordWrap/>
              <w:overflowPunct/>
              <w:topLinePunct w:val="0"/>
              <w:autoSpaceDE/>
              <w:autoSpaceDN/>
              <w:bidi w:val="0"/>
              <w:adjustRightInd w:val="0"/>
              <w:snapToGrid w:val="0"/>
              <w:spacing w:line="240" w:lineRule="auto"/>
              <w:ind w:firstLine="562"/>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学制</w:t>
            </w:r>
          </w:p>
        </w:tc>
        <w:tc>
          <w:tcPr>
            <w:tcW w:w="534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tcPr>
          <w:p>
            <w:pPr>
              <w:keepNext w:val="0"/>
              <w:keepLines w:val="0"/>
              <w:pageBreakBefore w:val="0"/>
              <w:widowControl w:val="0"/>
              <w:kinsoku/>
              <w:wordWrap/>
              <w:overflowPunct/>
              <w:topLinePunct w:val="0"/>
              <w:autoSpaceDE/>
              <w:autoSpaceDN/>
              <w:bidi w:val="0"/>
              <w:adjustRightInd w:val="0"/>
              <w:snapToGrid w:val="0"/>
              <w:spacing w:line="240" w:lineRule="auto"/>
              <w:ind w:firstLine="562"/>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奖助</w:t>
            </w:r>
          </w:p>
        </w:tc>
        <w:tc>
          <w:tcPr>
            <w:tcW w:w="534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纳入天津大学奖助体系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培养地点</w:t>
            </w:r>
          </w:p>
        </w:tc>
        <w:tc>
          <w:tcPr>
            <w:tcW w:w="5348" w:type="dxa"/>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天津大学福州</w:t>
            </w:r>
            <w:r>
              <w:rPr>
                <w:rFonts w:hint="eastAsia" w:ascii="仿宋_GB2312" w:hAnsi="仿宋_GB2312" w:eastAsia="仿宋_GB2312" w:cs="仿宋_GB2312"/>
                <w:sz w:val="28"/>
                <w:szCs w:val="28"/>
                <w:lang w:val="en-US" w:eastAsia="zh-CN"/>
              </w:rPr>
              <w:t>国际</w:t>
            </w:r>
            <w:r>
              <w:rPr>
                <w:rFonts w:hint="eastAsia" w:ascii="仿宋_GB2312" w:hAnsi="仿宋_GB2312" w:eastAsia="仿宋_GB2312" w:cs="仿宋_GB2312"/>
                <w:sz w:val="28"/>
                <w:szCs w:val="28"/>
              </w:rPr>
              <w:t>校区（福州市</w:t>
            </w:r>
            <w:r>
              <w:rPr>
                <w:rFonts w:hint="eastAsia" w:ascii="仿宋_GB2312" w:hAnsi="仿宋_GB2312" w:eastAsia="仿宋_GB2312" w:cs="仿宋_GB2312"/>
                <w:sz w:val="28"/>
                <w:szCs w:val="28"/>
                <w:lang w:val="en-US" w:eastAsia="zh-CN"/>
              </w:rPr>
              <w:t>长乐区</w:t>
            </w:r>
            <w:r>
              <w:rPr>
                <w:rFonts w:hint="eastAsia" w:ascii="仿宋_GB2312" w:hAnsi="仿宋_GB2312" w:eastAsia="仿宋_GB2312" w:cs="仿宋_GB2312"/>
                <w:sz w:val="28"/>
                <w:szCs w:val="28"/>
              </w:rPr>
              <w:t>）</w:t>
            </w:r>
          </w:p>
        </w:tc>
      </w:tr>
    </w:tbl>
    <w:p>
      <w:pPr>
        <w:numPr>
          <w:ilvl w:val="0"/>
          <w:numId w:val="1"/>
        </w:numPr>
        <w:adjustRightInd w:val="0"/>
        <w:snapToGrid w:val="0"/>
        <w:spacing w:before="156" w:beforeLines="50" w:line="44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招生专业</w:t>
      </w:r>
    </w:p>
    <w:tbl>
      <w:tblPr>
        <w:tblStyle w:val="3"/>
        <w:tblW w:w="0" w:type="auto"/>
        <w:tblInd w:w="2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2716"/>
        <w:gridCol w:w="3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top"/>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专业代码</w:t>
            </w:r>
          </w:p>
        </w:tc>
        <w:tc>
          <w:tcPr>
            <w:tcW w:w="2716" w:type="dxa"/>
          </w:tcPr>
          <w:p>
            <w:pPr>
              <w:keepNext w:val="0"/>
              <w:keepLines w:val="0"/>
              <w:pageBreakBefore w:val="0"/>
              <w:numPr>
                <w:ilvl w:val="0"/>
                <w:numId w:val="0"/>
              </w:numPr>
              <w:kinsoku/>
              <w:wordWrap/>
              <w:overflowPunct/>
              <w:topLinePunct w:val="0"/>
              <w:autoSpaceDE/>
              <w:autoSpaceDN/>
              <w:bidi w:val="0"/>
              <w:adjustRightInd w:val="0"/>
              <w:snapToGrid w:val="0"/>
              <w:spacing w:line="240" w:lineRule="auto"/>
              <w:jc w:val="center"/>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专业名称</w:t>
            </w:r>
          </w:p>
        </w:tc>
        <w:tc>
          <w:tcPr>
            <w:tcW w:w="3163" w:type="dxa"/>
            <w:vAlign w:val="top"/>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依托学院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070200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both"/>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物理学</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070300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both"/>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化学</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理学院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070300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both"/>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化学</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分子聚集态科学研究院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085801</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both"/>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电气工程（专业学位）</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电气自动化与信息工程学院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085400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both"/>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电子信息（专业学位）</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电气自动化与信息工程学院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仿宋_GB2312" w:hAnsi="仿宋_GB2312" w:eastAsia="仿宋_GB2312" w:cs="仿宋_GB2312"/>
                <w:b/>
                <w:bCs/>
                <w:sz w:val="24"/>
                <w:szCs w:val="24"/>
                <w:vertAlign w:val="baseline"/>
              </w:rPr>
            </w:pPr>
            <w:r>
              <w:rPr>
                <w:rFonts w:hint="eastAsia" w:ascii="仿宋_GB2312" w:hAnsi="仿宋_GB2312" w:eastAsia="仿宋_GB2312" w:cs="仿宋_GB2312"/>
                <w:i w:val="0"/>
                <w:iCs w:val="0"/>
                <w:color w:val="000000"/>
                <w:kern w:val="0"/>
                <w:sz w:val="24"/>
                <w:szCs w:val="24"/>
                <w:u w:val="none"/>
                <w:lang w:val="en-US" w:eastAsia="zh-CN" w:bidi="ar"/>
              </w:rPr>
              <w:t>085400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bCs/>
                <w:sz w:val="24"/>
                <w:szCs w:val="24"/>
                <w:vertAlign w:val="baseline"/>
              </w:rPr>
            </w:pPr>
            <w:r>
              <w:rPr>
                <w:rFonts w:hint="eastAsia" w:ascii="仿宋_GB2312" w:hAnsi="仿宋_GB2312" w:eastAsia="仿宋_GB2312" w:cs="仿宋_GB2312"/>
                <w:i w:val="0"/>
                <w:iCs w:val="0"/>
                <w:color w:val="000000"/>
                <w:kern w:val="0"/>
                <w:sz w:val="24"/>
                <w:szCs w:val="24"/>
                <w:u w:val="none"/>
                <w:lang w:val="en-US" w:eastAsia="zh-CN" w:bidi="ar"/>
              </w:rPr>
              <w:t>电子信息（专业学位）</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精密仪器与光电子工程学院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085400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电子信息（专业学位）</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微电子学院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085400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both"/>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电子信息（专业学位）</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未来技术学院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085800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jc w:val="both"/>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能源动力（专业学位）</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未来技术学院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085600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both"/>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材料与化工（专业学位）</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材料科学与工程学院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仿宋_GB2312" w:hAnsi="仿宋_GB2312" w:eastAsia="仿宋_GB2312" w:cs="仿宋_GB2312"/>
                <w:b/>
                <w:bCs/>
                <w:sz w:val="24"/>
                <w:szCs w:val="24"/>
                <w:vertAlign w:val="baseline"/>
              </w:rPr>
            </w:pPr>
            <w:r>
              <w:rPr>
                <w:rFonts w:hint="eastAsia" w:ascii="仿宋_GB2312" w:hAnsi="仿宋_GB2312" w:eastAsia="仿宋_GB2312" w:cs="仿宋_GB2312"/>
                <w:i w:val="0"/>
                <w:iCs w:val="0"/>
                <w:color w:val="000000"/>
                <w:kern w:val="0"/>
                <w:sz w:val="24"/>
                <w:szCs w:val="24"/>
                <w:u w:val="none"/>
                <w:lang w:val="en-US" w:eastAsia="zh-CN" w:bidi="ar"/>
              </w:rPr>
              <w:t>085600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bCs/>
                <w:sz w:val="24"/>
                <w:szCs w:val="24"/>
                <w:vertAlign w:val="baseline"/>
              </w:rPr>
            </w:pPr>
            <w:r>
              <w:rPr>
                <w:rFonts w:hint="eastAsia" w:ascii="仿宋_GB2312" w:hAnsi="仿宋_GB2312" w:eastAsia="仿宋_GB2312" w:cs="仿宋_GB2312"/>
                <w:i w:val="0"/>
                <w:iCs w:val="0"/>
                <w:color w:val="000000"/>
                <w:kern w:val="0"/>
                <w:sz w:val="24"/>
                <w:szCs w:val="24"/>
                <w:u w:val="none"/>
                <w:lang w:val="en-US" w:eastAsia="zh-CN" w:bidi="ar"/>
              </w:rPr>
              <w:t>材料与化工（专业学位）</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eastAsia" w:ascii="仿宋_GB2312" w:hAnsi="仿宋_GB2312" w:eastAsia="仿宋_GB2312" w:cs="仿宋_GB2312"/>
                <w:b/>
                <w:bCs/>
                <w:sz w:val="24"/>
                <w:szCs w:val="24"/>
                <w:vertAlign w:val="baseline"/>
              </w:rPr>
            </w:pPr>
            <w:r>
              <w:rPr>
                <w:rFonts w:hint="eastAsia" w:ascii="仿宋_GB2312" w:hAnsi="仿宋_GB2312" w:eastAsia="仿宋_GB2312" w:cs="仿宋_GB2312"/>
                <w:i w:val="0"/>
                <w:iCs w:val="0"/>
                <w:color w:val="000000"/>
                <w:kern w:val="0"/>
                <w:sz w:val="24"/>
                <w:szCs w:val="24"/>
                <w:u w:val="none"/>
                <w:lang w:val="en-US" w:eastAsia="zh-CN" w:bidi="ar"/>
              </w:rPr>
              <w:t>086000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jc w:val="both"/>
              <w:rPr>
                <w:rFonts w:hint="eastAsia" w:ascii="仿宋_GB2312" w:hAnsi="仿宋_GB2312" w:eastAsia="仿宋_GB2312" w:cs="仿宋_GB2312"/>
                <w:b/>
                <w:bCs/>
                <w:sz w:val="24"/>
                <w:szCs w:val="24"/>
                <w:vertAlign w:val="baseline"/>
              </w:rPr>
            </w:pPr>
            <w:r>
              <w:rPr>
                <w:rFonts w:hint="eastAsia" w:ascii="仿宋_GB2312" w:hAnsi="仿宋_GB2312" w:eastAsia="仿宋_GB2312" w:cs="仿宋_GB2312"/>
                <w:i w:val="0"/>
                <w:iCs w:val="0"/>
                <w:color w:val="000000"/>
                <w:kern w:val="0"/>
                <w:sz w:val="24"/>
                <w:szCs w:val="24"/>
                <w:u w:val="none"/>
                <w:lang w:val="en-US" w:eastAsia="zh-CN" w:bidi="ar"/>
              </w:rPr>
              <w:t>生物与医药（专业学位）</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化工学院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085700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jc w:val="both"/>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资源与环境（专业学位）</w:t>
            </w:r>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环境科学与工程学院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top"/>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085500</w:t>
            </w:r>
          </w:p>
        </w:tc>
        <w:tc>
          <w:tcPr>
            <w:tcW w:w="2716"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jc w:val="both"/>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机械（专业学位）</w:t>
            </w:r>
            <w:bookmarkStart w:id="0" w:name="_GoBack"/>
            <w:bookmarkEnd w:id="0"/>
          </w:p>
        </w:tc>
        <w:tc>
          <w:tcPr>
            <w:tcW w:w="3163" w:type="dxa"/>
            <w:vAlign w:val="center"/>
          </w:tcPr>
          <w:p>
            <w:pPr>
              <w:keepNext w:val="0"/>
              <w:keepLines w:val="0"/>
              <w:pageBreakBefore w:val="0"/>
              <w:numPr>
                <w:ilvl w:val="0"/>
                <w:numId w:val="0"/>
              </w:numPr>
              <w:kinsoku/>
              <w:wordWrap/>
              <w:overflowPunct/>
              <w:topLinePunct w:val="0"/>
              <w:autoSpaceDE/>
              <w:autoSpaceDN/>
              <w:bidi w:val="0"/>
              <w:adjustRightInd w:val="0"/>
              <w:snapToGrid w:val="0"/>
              <w:spacing w:line="240" w:lineRule="auto"/>
              <w:ind w:left="0" w:leftChars="0" w:firstLine="0" w:firstLineChars="0"/>
              <w:jc w:val="left"/>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机械工程学院</w:t>
            </w:r>
          </w:p>
        </w:tc>
      </w:tr>
    </w:tbl>
    <w:p>
      <w:pPr>
        <w:adjustRightInd w:val="0"/>
        <w:snapToGrid w:val="0"/>
        <w:spacing w:before="156" w:beforeLines="50" w:line="440" w:lineRule="exact"/>
        <w:rPr>
          <w:rFonts w:hint="eastAsia" w:ascii="仿宋_GB2312" w:hAnsi="仿宋_GB2312" w:eastAsia="仿宋_GB2312" w:cs="仿宋_GB2312"/>
          <w:b/>
          <w:bCs/>
          <w:sz w:val="28"/>
          <w:szCs w:val="28"/>
        </w:rPr>
      </w:pPr>
      <w:r>
        <w:rPr>
          <w:rFonts w:hint="eastAsia" w:ascii="仿宋_GB2312" w:hAnsi="仿宋_GB2312" w:eastAsia="仿宋_GB2312" w:cs="仿宋_GB2312"/>
          <w:b w:val="0"/>
          <w:bCs w:val="0"/>
          <w:sz w:val="24"/>
          <w:szCs w:val="24"/>
          <w:lang w:val="en-US" w:eastAsia="zh-CN"/>
        </w:rPr>
        <w:t>注：详情参见各学院复试办法。复试安排相关事宜请咨询相应学院（联系方式请参见https://yzb.tju.edu.cn/xwzx/tkss_xw/202402/t20240227_323583.htm），后续培养相关事宜咨询福州国际联合学院（咨询电话：0591-62602689，咨询QQ群：166489257）。</w:t>
      </w:r>
    </w:p>
    <w:p>
      <w:pPr>
        <w:adjustRightInd w:val="0"/>
        <w:snapToGrid w:val="0"/>
        <w:spacing w:before="156" w:beforeLines="50" w:line="440" w:lineRule="exact"/>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二、招生方式</w:t>
      </w:r>
    </w:p>
    <w:p>
      <w:pPr>
        <w:adjustRightInd w:val="0"/>
        <w:snapToGrid w:val="0"/>
        <w:spacing w:before="156" w:beforeLines="50"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天津大学</w:t>
      </w:r>
      <w:r>
        <w:rPr>
          <w:rFonts w:hint="eastAsia" w:ascii="仿宋_GB2312" w:hAnsi="仿宋_GB2312" w:eastAsia="仿宋_GB2312" w:cs="仿宋_GB2312"/>
          <w:sz w:val="28"/>
          <w:szCs w:val="28"/>
        </w:rPr>
        <w:t>将在以上相应学院招生专业</w:t>
      </w:r>
      <w:r>
        <w:rPr>
          <w:rFonts w:hint="eastAsia" w:ascii="仿宋_GB2312" w:hAnsi="仿宋_GB2312" w:eastAsia="仿宋_GB2312" w:cs="仿宋_GB2312"/>
          <w:sz w:val="28"/>
          <w:szCs w:val="28"/>
          <w:lang w:val="en-US" w:eastAsia="zh-CN"/>
        </w:rPr>
        <w:t>或方向</w:t>
      </w:r>
      <w:r>
        <w:rPr>
          <w:rFonts w:hint="eastAsia" w:ascii="仿宋_GB2312" w:hAnsi="仿宋_GB2312" w:eastAsia="仿宋_GB2312" w:cs="仿宋_GB2312"/>
          <w:sz w:val="28"/>
          <w:szCs w:val="28"/>
        </w:rPr>
        <w:t>复试前增设福州大学城联合研究生院招生方向，面向进入相应专业</w:t>
      </w:r>
      <w:r>
        <w:rPr>
          <w:rFonts w:hint="eastAsia" w:ascii="仿宋_GB2312" w:hAnsi="仿宋_GB2312" w:eastAsia="仿宋_GB2312" w:cs="仿宋_GB2312"/>
          <w:sz w:val="28"/>
          <w:szCs w:val="28"/>
          <w:lang w:val="en-US" w:eastAsia="zh-CN"/>
        </w:rPr>
        <w:t>或方向</w:t>
      </w:r>
      <w:r>
        <w:rPr>
          <w:rFonts w:hint="eastAsia" w:ascii="仿宋_GB2312" w:hAnsi="仿宋_GB2312" w:eastAsia="仿宋_GB2312" w:cs="仿宋_GB2312"/>
          <w:sz w:val="28"/>
          <w:szCs w:val="28"/>
        </w:rPr>
        <w:t>复试名单的考生征集志愿（</w:t>
      </w:r>
      <w:r>
        <w:rPr>
          <w:rFonts w:hint="eastAsia" w:ascii="仿宋_GB2312" w:hAnsi="仿宋_GB2312" w:eastAsia="仿宋_GB2312" w:cs="仿宋_GB2312"/>
          <w:sz w:val="28"/>
          <w:szCs w:val="28"/>
          <w:lang w:val="en-US" w:eastAsia="zh-CN"/>
        </w:rPr>
        <w:t>具体</w:t>
      </w:r>
      <w:r>
        <w:rPr>
          <w:rFonts w:hint="eastAsia" w:ascii="仿宋_GB2312" w:hAnsi="仿宋_GB2312" w:eastAsia="仿宋_GB2312" w:cs="仿宋_GB2312"/>
          <w:sz w:val="28"/>
          <w:szCs w:val="28"/>
        </w:rPr>
        <w:t>详情</w:t>
      </w:r>
      <w:r>
        <w:rPr>
          <w:rFonts w:hint="eastAsia" w:ascii="仿宋_GB2312" w:hAnsi="仿宋_GB2312" w:eastAsia="仿宋_GB2312" w:cs="仿宋_GB2312"/>
          <w:sz w:val="28"/>
          <w:szCs w:val="28"/>
          <w:lang w:val="en-US" w:eastAsia="zh-CN"/>
        </w:rPr>
        <w:t>以</w:t>
      </w:r>
      <w:r>
        <w:rPr>
          <w:rFonts w:hint="eastAsia" w:ascii="仿宋_GB2312" w:hAnsi="仿宋_GB2312" w:eastAsia="仿宋_GB2312" w:cs="仿宋_GB2312"/>
          <w:sz w:val="28"/>
          <w:szCs w:val="28"/>
        </w:rPr>
        <w:t>相应学院复试办法</w:t>
      </w:r>
      <w:r>
        <w:rPr>
          <w:rFonts w:hint="eastAsia" w:ascii="仿宋_GB2312" w:hAnsi="仿宋_GB2312" w:eastAsia="仿宋_GB2312" w:cs="仿宋_GB2312"/>
          <w:sz w:val="28"/>
          <w:szCs w:val="28"/>
          <w:lang w:val="en-US" w:eastAsia="zh-CN"/>
        </w:rPr>
        <w:t>为准</w:t>
      </w:r>
      <w:r>
        <w:rPr>
          <w:rFonts w:hint="eastAsia" w:ascii="仿宋_GB2312" w:hAnsi="仿宋_GB2312" w:eastAsia="仿宋_GB2312" w:cs="仿宋_GB2312"/>
          <w:sz w:val="28"/>
          <w:szCs w:val="28"/>
        </w:rPr>
        <w:t>），并由相应学院按照最新志愿方向组织复试录取工作。复试及录取规则参见《天津大学硕士研究生招生复试办法》。拟录取学生按照天津大学相关要求完成入学报到后（报到地点：天津大学福州</w:t>
      </w:r>
      <w:r>
        <w:rPr>
          <w:rFonts w:hint="eastAsia" w:ascii="仿宋_GB2312" w:hAnsi="仿宋_GB2312" w:eastAsia="仿宋_GB2312" w:cs="仿宋_GB2312"/>
          <w:sz w:val="28"/>
          <w:szCs w:val="28"/>
          <w:lang w:val="en-US" w:eastAsia="zh-CN"/>
        </w:rPr>
        <w:t>国际</w:t>
      </w:r>
      <w:r>
        <w:rPr>
          <w:rFonts w:hint="eastAsia" w:ascii="仿宋_GB2312" w:hAnsi="仿宋_GB2312" w:eastAsia="仿宋_GB2312" w:cs="仿宋_GB2312"/>
          <w:sz w:val="28"/>
          <w:szCs w:val="28"/>
        </w:rPr>
        <w:t>校区），考生录取学院变更为天津大学福州国际联合学院。</w:t>
      </w:r>
    </w:p>
    <w:p>
      <w:pPr>
        <w:adjustRightInd w:val="0"/>
        <w:snapToGrid w:val="0"/>
        <w:spacing w:before="156" w:beforeLines="50" w:line="440" w:lineRule="exact"/>
        <w:ind w:firstLine="560" w:firstLineChars="200"/>
        <w:rPr>
          <w:rFonts w:hint="eastAsia" w:ascii="仿宋_GB2312" w:hAnsi="仿宋_GB2312" w:eastAsia="仿宋_GB2312" w:cs="仿宋_GB2312"/>
          <w:sz w:val="28"/>
          <w:szCs w:val="28"/>
        </w:rPr>
      </w:pPr>
    </w:p>
    <w:p>
      <w:pPr>
        <w:adjustRightInd w:val="0"/>
        <w:snapToGrid w:val="0"/>
        <w:spacing w:before="156" w:beforeLines="50" w:line="440" w:lineRule="exact"/>
        <w:ind w:firstLine="562"/>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附件：</w:t>
      </w:r>
    </w:p>
    <w:p>
      <w:pPr>
        <w:adjustRightInd w:val="0"/>
        <w:snapToGrid w:val="0"/>
        <w:spacing w:before="156" w:beforeLines="50" w:line="44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一、福州大学城联合研究生院项目简介</w:t>
      </w:r>
    </w:p>
    <w:p>
      <w:pPr>
        <w:adjustRightInd w:val="0"/>
        <w:snapToGrid w:val="0"/>
        <w:spacing w:before="156" w:beforeLines="50"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联合研究生院由天津大学、福州大学牵头，福建师范大学、福建农林大学等高校参与，以合作共建方式开展研究生联合培养和前沿学术研究。在联合研究生院框架下，我校将通过与福建本地高校、科研院所、领军企业开展课程共建、资源共享的方式，充分整合参建高校及企业的优势资源，聚焦产业需求，深化校企合作，强化实践能力培养，打造产学研深度融合的卓越工程师培养新范式。学生培养将采取“导师团”形式，主导师由我校专职导师担任，副导师由参建高校导师及行业导师担任，共同开展学生培养工作。联合研究生院天津大学学生将全程在天津大学福州</w:t>
      </w:r>
      <w:r>
        <w:rPr>
          <w:rFonts w:hint="eastAsia" w:ascii="仿宋_GB2312" w:hAnsi="仿宋_GB2312" w:eastAsia="仿宋_GB2312" w:cs="仿宋_GB2312"/>
          <w:sz w:val="28"/>
          <w:szCs w:val="28"/>
          <w:lang w:val="en-US" w:eastAsia="zh-CN"/>
        </w:rPr>
        <w:t>国际</w:t>
      </w:r>
      <w:r>
        <w:rPr>
          <w:rFonts w:hint="eastAsia" w:ascii="仿宋_GB2312" w:hAnsi="仿宋_GB2312" w:eastAsia="仿宋_GB2312" w:cs="仿宋_GB2312"/>
          <w:sz w:val="28"/>
          <w:szCs w:val="28"/>
        </w:rPr>
        <w:t>校区培养。</w:t>
      </w:r>
    </w:p>
    <w:p>
      <w:pPr>
        <w:adjustRightInd w:val="0"/>
        <w:snapToGrid w:val="0"/>
        <w:spacing w:before="156" w:beforeLines="50" w:line="44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bCs/>
          <w:sz w:val="28"/>
          <w:szCs w:val="28"/>
        </w:rPr>
        <w:t>二、天津大学奖助体系介绍</w:t>
      </w:r>
    </w:p>
    <w:p>
      <w:pPr>
        <w:adjustRightInd w:val="0"/>
        <w:snapToGrid w:val="0"/>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奖励体系包括国家奖学金、学业奖学金、专项奖学金、单项优秀学生奖等。国家奖学金用于奖励学业成绩特别优秀、科学研究成果显著、社会公益活动表现 突出的全日制硕士研究生，标准为每生每年 </w:t>
      </w:r>
      <w:r>
        <w:rPr>
          <w:rFonts w:ascii="仿宋_GB2312" w:hAnsi="仿宋_GB2312" w:eastAsia="仿宋_GB2312" w:cs="仿宋_GB2312"/>
          <w:sz w:val="28"/>
          <w:szCs w:val="28"/>
        </w:rPr>
        <w:t xml:space="preserve">20000 </w:t>
      </w:r>
      <w:r>
        <w:rPr>
          <w:rFonts w:hint="eastAsia" w:ascii="仿宋_GB2312" w:hAnsi="仿宋_GB2312" w:eastAsia="仿宋_GB2312" w:cs="仿宋_GB2312"/>
          <w:sz w:val="28"/>
          <w:szCs w:val="28"/>
        </w:rPr>
        <w:t>元。学业奖学金特等奖最高可达每生每年</w:t>
      </w:r>
      <w:r>
        <w:rPr>
          <w:rFonts w:ascii="仿宋_GB2312" w:hAnsi="仿宋_GB2312" w:eastAsia="仿宋_GB2312" w:cs="仿宋_GB2312"/>
          <w:sz w:val="28"/>
          <w:szCs w:val="28"/>
        </w:rPr>
        <w:t>12000</w:t>
      </w:r>
      <w:r>
        <w:rPr>
          <w:rFonts w:hint="eastAsia" w:ascii="仿宋_GB2312" w:hAnsi="仿宋_GB2312" w:eastAsia="仿宋_GB2312" w:cs="仿宋_GB2312"/>
          <w:sz w:val="28"/>
          <w:szCs w:val="28"/>
        </w:rPr>
        <w:t xml:space="preserve">元（具体以当年发布的评审方案为准）。 </w:t>
      </w:r>
    </w:p>
    <w:p>
      <w:pPr>
        <w:adjustRightInd w:val="0"/>
        <w:snapToGrid w:val="0"/>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资助体系包括国家助学贷款、研究生助学金、助管基金、助教基金、国际交流基金、专项助学金等。其中研究生助学金为每生</w:t>
      </w:r>
      <w:r>
        <w:rPr>
          <w:rFonts w:ascii="仿宋_GB2312" w:hAnsi="仿宋_GB2312" w:eastAsia="仿宋_GB2312" w:cs="仿宋_GB2312"/>
          <w:sz w:val="28"/>
          <w:szCs w:val="28"/>
        </w:rPr>
        <w:t xml:space="preserve">6000 </w:t>
      </w:r>
      <w:r>
        <w:rPr>
          <w:rFonts w:hint="eastAsia" w:ascii="仿宋_GB2312" w:hAnsi="仿宋_GB2312" w:eastAsia="仿宋_GB2312" w:cs="仿宋_GB2312"/>
          <w:sz w:val="28"/>
          <w:szCs w:val="28"/>
        </w:rPr>
        <w:t>元</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年以及导师助研两部分组成，助学金覆盖面可达</w:t>
      </w:r>
      <w:r>
        <w:rPr>
          <w:rFonts w:ascii="仿宋_GB2312" w:hAnsi="仿宋_GB2312" w:eastAsia="仿宋_GB2312" w:cs="仿宋_GB2312"/>
          <w:sz w:val="28"/>
          <w:szCs w:val="28"/>
        </w:rPr>
        <w:t>100%</w:t>
      </w:r>
      <w:r>
        <w:rPr>
          <w:rFonts w:hint="eastAsia" w:ascii="仿宋_GB2312" w:hAnsi="仿宋_GB2312" w:eastAsia="仿宋_GB2312" w:cs="仿宋_GB2312"/>
          <w:sz w:val="28"/>
          <w:szCs w:val="28"/>
        </w:rPr>
        <w:t xml:space="preserve">。 </w:t>
      </w:r>
    </w:p>
    <w:p>
      <w:pPr>
        <w:adjustRightInd w:val="0"/>
        <w:snapToGrid w:val="0"/>
        <w:spacing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适用对象为纳入全国研究生招生计划的取得正式学籍的全日制研究生（有固定工资收入的除外）。具体执行细则参见当年校发文件。</w:t>
      </w:r>
    </w:p>
    <w:p>
      <w:pPr>
        <w:adjustRightInd w:val="0"/>
        <w:snapToGrid w:val="0"/>
        <w:spacing w:before="156" w:beforeLines="50"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hint="eastAsia" w:ascii="仿宋_GB2312" w:hAnsi="仿宋_GB2312" w:eastAsia="仿宋_GB2312" w:cs="仿宋_GB2312"/>
          <w:b/>
          <w:bCs/>
          <w:sz w:val="28"/>
          <w:szCs w:val="28"/>
        </w:rPr>
        <w:t>福州大学城联合研究生院天津大学部分领域</w:t>
      </w:r>
      <w:r>
        <w:rPr>
          <w:rFonts w:hint="eastAsia" w:ascii="仿宋_GB2312" w:hAnsi="仿宋_GB2312" w:eastAsia="仿宋_GB2312" w:cs="仿宋_GB2312"/>
          <w:b/>
          <w:bCs/>
          <w:sz w:val="28"/>
          <w:szCs w:val="28"/>
          <w:lang w:val="en-US" w:eastAsia="zh-CN"/>
        </w:rPr>
        <w:t>主</w:t>
      </w:r>
      <w:r>
        <w:rPr>
          <w:rFonts w:hint="eastAsia" w:ascii="仿宋_GB2312" w:hAnsi="仿宋_GB2312" w:eastAsia="仿宋_GB2312" w:cs="仿宋_GB2312"/>
          <w:b/>
          <w:bCs/>
          <w:sz w:val="28"/>
          <w:szCs w:val="28"/>
        </w:rPr>
        <w:t>导师名单（持续更新中）</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5"/>
        <w:gridCol w:w="1448"/>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375" w:type="dxa"/>
            <w:vAlign w:val="center"/>
          </w:tcPr>
          <w:p>
            <w:pPr>
              <w:adjustRightInd w:val="0"/>
              <w:snapToGrid w:val="0"/>
              <w:ind w:firstLine="562"/>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lang w:val="en-US" w:eastAsia="zh-CN"/>
              </w:rPr>
              <w:t>主</w:t>
            </w:r>
            <w:r>
              <w:rPr>
                <w:rFonts w:hint="eastAsia" w:ascii="仿宋_GB2312" w:hAnsi="仿宋_GB2312" w:eastAsia="仿宋_GB2312" w:cs="仿宋_GB2312"/>
                <w:b/>
                <w:bCs/>
                <w:sz w:val="28"/>
                <w:szCs w:val="28"/>
              </w:rPr>
              <w:t>导师姓名</w:t>
            </w:r>
          </w:p>
        </w:tc>
        <w:tc>
          <w:tcPr>
            <w:tcW w:w="1448" w:type="dxa"/>
            <w:vAlign w:val="center"/>
          </w:tcPr>
          <w:p>
            <w:pPr>
              <w:adjustRightInd w:val="0"/>
              <w:snapToGrid w:val="0"/>
              <w:ind w:firstLine="562"/>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职称</w:t>
            </w:r>
          </w:p>
        </w:tc>
        <w:tc>
          <w:tcPr>
            <w:tcW w:w="2268" w:type="dxa"/>
            <w:vAlign w:val="center"/>
          </w:tcPr>
          <w:p>
            <w:pPr>
              <w:adjustRightInd w:val="0"/>
              <w:snapToGrid w:val="0"/>
              <w:ind w:firstLine="562"/>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胡文平</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马军安</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李立强</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胡文彬</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color w:val="000000"/>
                <w:kern w:val="0"/>
                <w:sz w:val="28"/>
                <w:szCs w:val="28"/>
                <w:lang w:bidi="ar"/>
              </w:rPr>
              <w:t>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耿延候</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color w:val="000000"/>
                <w:kern w:val="0"/>
                <w:sz w:val="28"/>
                <w:szCs w:val="28"/>
                <w:lang w:bidi="ar"/>
              </w:rPr>
              <w:t>材料</w:t>
            </w:r>
            <w:r>
              <w:rPr>
                <w:rFonts w:hint="eastAsia" w:ascii="仿宋_GB2312" w:hAnsi="仿宋_GB2312" w:eastAsia="仿宋_GB2312" w:cs="仿宋_GB2312"/>
                <w:color w:val="000000"/>
                <w:kern w:val="0"/>
                <w:sz w:val="28"/>
                <w:szCs w:val="28"/>
                <w:lang w:eastAsia="zh-CN" w:bidi="ar"/>
              </w:rPr>
              <w:t>、</w:t>
            </w:r>
            <w:r>
              <w:rPr>
                <w:rFonts w:hint="eastAsia" w:ascii="仿宋_GB2312" w:hAnsi="仿宋_GB2312" w:eastAsia="仿宋_GB2312" w:cs="仿宋_GB2312"/>
                <w:color w:val="000000"/>
                <w:kern w:val="0"/>
                <w:sz w:val="28"/>
                <w:szCs w:val="28"/>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何春年</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color w:val="000000"/>
                <w:kern w:val="0"/>
                <w:sz w:val="28"/>
                <w:szCs w:val="28"/>
                <w:lang w:bidi="ar"/>
              </w:rPr>
              <w:t>材料</w:t>
            </w:r>
            <w:r>
              <w:rPr>
                <w:rFonts w:hint="eastAsia" w:ascii="仿宋_GB2312" w:hAnsi="仿宋_GB2312" w:eastAsia="仿宋_GB2312" w:cs="仿宋_GB2312"/>
                <w:color w:val="000000"/>
                <w:kern w:val="0"/>
                <w:sz w:val="28"/>
                <w:szCs w:val="28"/>
                <w:lang w:eastAsia="zh-CN" w:bidi="ar"/>
              </w:rPr>
              <w:t>、</w:t>
            </w:r>
            <w:r>
              <w:rPr>
                <w:rFonts w:hint="eastAsia" w:ascii="仿宋_GB2312" w:hAnsi="仿宋_GB2312" w:eastAsia="仿宋_GB2312" w:cs="仿宋_GB2312"/>
                <w:color w:val="000000"/>
                <w:kern w:val="0"/>
                <w:sz w:val="28"/>
                <w:szCs w:val="28"/>
                <w:lang w:val="en-US" w:eastAsia="zh-CN"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姜忠义</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color w:val="000000"/>
                <w:kern w:val="0"/>
                <w:sz w:val="28"/>
                <w:szCs w:val="28"/>
                <w:lang w:bidi="ar"/>
              </w:rPr>
              <w:t>化工</w:t>
            </w:r>
            <w:r>
              <w:rPr>
                <w:rFonts w:hint="eastAsia" w:ascii="仿宋_GB2312" w:hAnsi="仿宋_GB2312" w:eastAsia="仿宋_GB2312" w:cs="仿宋_GB2312"/>
                <w:color w:val="000000"/>
                <w:kern w:val="0"/>
                <w:sz w:val="28"/>
                <w:szCs w:val="28"/>
                <w:lang w:eastAsia="zh-CN" w:bidi="ar"/>
              </w:rPr>
              <w:t>、</w:t>
            </w:r>
            <w:r>
              <w:rPr>
                <w:rFonts w:hint="eastAsia" w:ascii="仿宋_GB2312" w:hAnsi="仿宋_GB2312" w:eastAsia="仿宋_GB2312" w:cs="仿宋_GB2312"/>
                <w:color w:val="000000"/>
                <w:kern w:val="0"/>
                <w:sz w:val="28"/>
                <w:szCs w:val="28"/>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杨全红</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color w:val="000000"/>
                <w:kern w:val="0"/>
                <w:sz w:val="28"/>
                <w:szCs w:val="28"/>
                <w:lang w:bidi="ar"/>
              </w:rPr>
              <w:t>化工</w:t>
            </w:r>
            <w:r>
              <w:rPr>
                <w:rFonts w:hint="eastAsia" w:ascii="仿宋_GB2312" w:hAnsi="仿宋_GB2312" w:eastAsia="仿宋_GB2312" w:cs="仿宋_GB2312"/>
                <w:color w:val="000000"/>
                <w:kern w:val="0"/>
                <w:sz w:val="28"/>
                <w:szCs w:val="28"/>
                <w:lang w:eastAsia="zh-CN" w:bidi="ar"/>
              </w:rPr>
              <w:t>、</w:t>
            </w:r>
            <w:r>
              <w:rPr>
                <w:rFonts w:hint="eastAsia" w:ascii="仿宋_GB2312" w:hAnsi="仿宋_GB2312" w:eastAsia="仿宋_GB2312" w:cs="仿宋_GB2312"/>
                <w:color w:val="000000"/>
                <w:kern w:val="0"/>
                <w:sz w:val="28"/>
                <w:szCs w:val="28"/>
                <w:lang w:val="en-US" w:eastAsia="zh-CN" w:bidi="ar"/>
              </w:rPr>
              <w:t>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王悦</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张鹏</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吕宏</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物理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5"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任赫辰</w:t>
            </w:r>
          </w:p>
        </w:tc>
        <w:tc>
          <w:tcPr>
            <w:tcW w:w="144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教授</w:t>
            </w:r>
          </w:p>
        </w:tc>
        <w:tc>
          <w:tcPr>
            <w:tcW w:w="2268" w:type="dxa"/>
            <w:vAlign w:val="center"/>
          </w:tcPr>
          <w:p>
            <w:pPr>
              <w:widowControl/>
              <w:adjustRightInd w:val="0"/>
              <w:snapToGrid w:val="0"/>
              <w:jc w:val="center"/>
              <w:textAlignment w:val="center"/>
              <w:rPr>
                <w:rFonts w:ascii="仿宋_GB2312" w:hAnsi="仿宋_GB2312" w:eastAsia="仿宋_GB2312" w:cs="仿宋_GB2312"/>
                <w:b/>
                <w:bCs/>
                <w:sz w:val="28"/>
                <w:szCs w:val="28"/>
              </w:rPr>
            </w:pPr>
            <w:r>
              <w:rPr>
                <w:rFonts w:hint="eastAsia" w:ascii="仿宋_GB2312" w:hAnsi="仿宋_GB2312" w:eastAsia="仿宋_GB2312" w:cs="仿宋_GB2312"/>
                <w:color w:val="000000"/>
                <w:kern w:val="0"/>
                <w:sz w:val="28"/>
                <w:szCs w:val="28"/>
                <w:lang w:bidi="ar"/>
              </w:rPr>
              <w:t>物理</w:t>
            </w:r>
          </w:p>
        </w:tc>
      </w:tr>
    </w:tbl>
    <w:p>
      <w:pPr>
        <w:adjustRightInd w:val="0"/>
        <w:snapToGrid w:val="0"/>
        <w:spacing w:before="156" w:beforeLines="50" w:line="440" w:lineRule="exact"/>
        <w:ind w:firstLine="562" w:firstLineChars="200"/>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四、天津大学福州</w:t>
      </w:r>
      <w:r>
        <w:rPr>
          <w:rFonts w:hint="eastAsia" w:ascii="仿宋_GB2312" w:hAnsi="仿宋_GB2312" w:eastAsia="仿宋_GB2312" w:cs="仿宋_GB2312"/>
          <w:b/>
          <w:bCs/>
          <w:sz w:val="28"/>
          <w:szCs w:val="28"/>
          <w:lang w:val="en-US" w:eastAsia="zh-CN"/>
        </w:rPr>
        <w:t>国际</w:t>
      </w:r>
      <w:r>
        <w:rPr>
          <w:rFonts w:hint="eastAsia" w:ascii="仿宋_GB2312" w:hAnsi="仿宋_GB2312" w:eastAsia="仿宋_GB2312" w:cs="仿宋_GB2312"/>
          <w:b/>
          <w:bCs/>
          <w:sz w:val="28"/>
          <w:szCs w:val="28"/>
        </w:rPr>
        <w:t>校区介绍</w:t>
      </w:r>
    </w:p>
    <w:p>
      <w:pPr>
        <w:adjustRightInd w:val="0"/>
        <w:snapToGrid w:val="0"/>
        <w:spacing w:before="156" w:beforeLines="50" w:line="44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2018年12月，天津大学与福州市人民政府、福建省教育厅签订协议共建天津大学福州国际校区（选址位于福州滨海新城核心区）。天津大学福州国际联合学院是天津大学直属单位，具体负责福州国际校区及下设各学院的招生、培养及教学管理工作。</w:t>
      </w:r>
    </w:p>
    <w:p>
      <w:pPr>
        <w:adjustRightInd w:val="0"/>
        <w:snapToGrid w:val="0"/>
        <w:spacing w:before="156" w:beforeLines="50" w:line="44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福州国际校区占地2010亩，现已建成一期项目占地面积约182亩，总建筑面积约13.9万平方米</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配备一流的教学、科研及生活设施。</w:t>
      </w:r>
      <w:r>
        <w:rPr>
          <w:rFonts w:hint="eastAsia" w:ascii="仿宋_GB2312" w:hAnsi="仿宋_GB2312" w:eastAsia="仿宋_GB2312" w:cs="仿宋_GB2312"/>
          <w:sz w:val="28"/>
          <w:szCs w:val="28"/>
          <w:lang w:val="en-US" w:eastAsia="zh-CN"/>
        </w:rPr>
        <w:t>学生</w:t>
      </w:r>
      <w:r>
        <w:rPr>
          <w:rFonts w:hint="eastAsia" w:ascii="仿宋_GB2312" w:hAnsi="仿宋_GB2312" w:eastAsia="仿宋_GB2312" w:cs="仿宋_GB2312"/>
          <w:sz w:val="28"/>
          <w:szCs w:val="28"/>
        </w:rPr>
        <w:t>宿舍内配有独立卫生间及浴室、空调、桌椅和衣柜。宿舍楼内生活配套设施齐全，配备</w:t>
      </w:r>
      <w:r>
        <w:rPr>
          <w:rFonts w:hint="eastAsia" w:ascii="仿宋_GB2312" w:hAnsi="仿宋_GB2312" w:eastAsia="仿宋_GB2312" w:cs="仿宋_GB2312"/>
          <w:sz w:val="28"/>
          <w:szCs w:val="28"/>
          <w:lang w:val="en-US" w:eastAsia="zh-CN"/>
        </w:rPr>
        <w:t>食堂</w:t>
      </w:r>
      <w:r>
        <w:rPr>
          <w:rFonts w:hint="eastAsia" w:ascii="仿宋_GB2312" w:hAnsi="仿宋_GB2312" w:eastAsia="仿宋_GB2312" w:cs="仿宋_GB2312"/>
          <w:sz w:val="28"/>
          <w:szCs w:val="28"/>
        </w:rPr>
        <w:t>、超市、一站式服务中心、</w:t>
      </w:r>
      <w:r>
        <w:rPr>
          <w:rFonts w:ascii="仿宋_GB2312" w:hAnsi="仿宋_GB2312" w:eastAsia="仿宋_GB2312" w:cs="仿宋_GB2312"/>
          <w:sz w:val="28"/>
          <w:szCs w:val="28"/>
        </w:rPr>
        <w:t>洗衣房、</w:t>
      </w:r>
      <w:r>
        <w:rPr>
          <w:rFonts w:hint="eastAsia" w:ascii="仿宋_GB2312" w:hAnsi="仿宋_GB2312" w:eastAsia="仿宋_GB2312" w:cs="仿宋_GB2312"/>
          <w:sz w:val="28"/>
          <w:szCs w:val="28"/>
        </w:rPr>
        <w:t>医务室等。校区内配有</w:t>
      </w:r>
      <w:r>
        <w:rPr>
          <w:rFonts w:ascii="仿宋_GB2312" w:hAnsi="仿宋_GB2312" w:eastAsia="仿宋_GB2312" w:cs="仿宋_GB2312"/>
          <w:sz w:val="28"/>
          <w:szCs w:val="28"/>
        </w:rPr>
        <w:t>标准操场、篮球场、健身房、瑜伽室等体育设施，以满足多样化的生活需求。教学楼内配有智慧教室、报告厅、自习室、交流室等</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实验楼内设有</w:t>
      </w:r>
      <w:r>
        <w:rPr>
          <w:rFonts w:hint="eastAsia" w:ascii="仿宋_GB2312" w:hAnsi="仿宋_GB2312" w:eastAsia="仿宋_GB2312" w:cs="仿宋_GB2312"/>
          <w:sz w:val="28"/>
          <w:szCs w:val="28"/>
        </w:rPr>
        <w:t>专用实验室、公共实验室以及学生办公区</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并设有</w:t>
      </w:r>
      <w:r>
        <w:rPr>
          <w:rFonts w:ascii="仿宋_GB2312" w:hAnsi="仿宋_GB2312" w:eastAsia="仿宋_GB2312" w:cs="仿宋_GB2312"/>
          <w:sz w:val="28"/>
          <w:szCs w:val="28"/>
        </w:rPr>
        <w:t>分析测试中心</w:t>
      </w:r>
      <w:r>
        <w:rPr>
          <w:rFonts w:hint="eastAsia" w:ascii="仿宋_GB2312" w:hAnsi="仿宋_GB2312" w:eastAsia="仿宋_GB2312" w:cs="仿宋_GB2312"/>
          <w:sz w:val="28"/>
          <w:szCs w:val="28"/>
          <w:lang w:eastAsia="zh-CN"/>
        </w:rPr>
        <w:t>、</w:t>
      </w:r>
      <w:r>
        <w:rPr>
          <w:rFonts w:ascii="仿宋_GB2312" w:hAnsi="仿宋_GB2312" w:eastAsia="仿宋_GB2312" w:cs="仿宋_GB2312"/>
          <w:sz w:val="28"/>
          <w:szCs w:val="28"/>
        </w:rPr>
        <w:t>大型仪器平台。</w:t>
      </w:r>
    </w:p>
    <w:p>
      <w:pPr>
        <w:adjustRightInd w:val="0"/>
        <w:snapToGrid w:val="0"/>
        <w:spacing w:before="156" w:beforeLines="50" w:line="240" w:lineRule="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73675" cy="2799080"/>
            <wp:effectExtent l="0" t="0" r="14605" b="5080"/>
            <wp:docPr id="9" name="图片 9" descr="微信图片_2024031112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311124326"/>
                    <pic:cNvPicPr>
                      <a:picLocks noChangeAspect="1"/>
                    </pic:cNvPicPr>
                  </pic:nvPicPr>
                  <pic:blipFill>
                    <a:blip r:embed="rId4"/>
                    <a:stretch>
                      <a:fillRect/>
                    </a:stretch>
                  </pic:blipFill>
                  <pic:spPr>
                    <a:xfrm>
                      <a:off x="0" y="0"/>
                      <a:ext cx="5273675" cy="2799080"/>
                    </a:xfrm>
                    <a:prstGeom prst="rect">
                      <a:avLst/>
                    </a:prstGeom>
                  </pic:spPr>
                </pic:pic>
              </a:graphicData>
            </a:graphic>
          </wp:inline>
        </w:drawing>
      </w:r>
    </w:p>
    <w:p>
      <w:pPr>
        <w:adjustRightInd w:val="0"/>
        <w:snapToGrid w:val="0"/>
        <w:spacing w:before="156" w:beforeLines="50" w:line="240" w:lineRule="auto"/>
        <w:jc w:val="center"/>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福州国际校区一期全景</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4" w:hRule="atLeast"/>
        </w:trPr>
        <w:tc>
          <w:tcPr>
            <w:tcW w:w="4261" w:type="dxa"/>
          </w:tcPr>
          <w:p>
            <w:pPr>
              <w:adjustRightInd w:val="0"/>
              <w:snapToGrid w:val="0"/>
              <w:spacing w:before="156" w:beforeLines="50"/>
              <w:rPr>
                <w:rFonts w:ascii="仿宋_GB2312" w:hAnsi="仿宋_GB2312" w:eastAsia="仿宋_GB2312" w:cs="仿宋_GB2312"/>
                <w:sz w:val="28"/>
                <w:szCs w:val="28"/>
              </w:rPr>
            </w:pPr>
            <w:r>
              <w:rPr>
                <w:rFonts w:ascii="宋体" w:hAnsi="宋体" w:eastAsia="宋体" w:cs="宋体"/>
                <w:sz w:val="24"/>
                <w:szCs w:val="24"/>
              </w:rPr>
              <w:drawing>
                <wp:inline distT="0" distB="0" distL="114300" distR="114300">
                  <wp:extent cx="2552700" cy="1701800"/>
                  <wp:effectExtent l="0" t="0" r="7620" b="50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2552700" cy="1701800"/>
                          </a:xfrm>
                          <a:prstGeom prst="rect">
                            <a:avLst/>
                          </a:prstGeom>
                          <a:noFill/>
                          <a:ln w="9525">
                            <a:noFill/>
                          </a:ln>
                        </pic:spPr>
                      </pic:pic>
                    </a:graphicData>
                  </a:graphic>
                </wp:inline>
              </w:drawing>
            </w:r>
          </w:p>
        </w:tc>
        <w:tc>
          <w:tcPr>
            <w:tcW w:w="4261" w:type="dxa"/>
          </w:tcPr>
          <w:p>
            <w:pPr>
              <w:adjustRightInd w:val="0"/>
              <w:snapToGrid w:val="0"/>
              <w:spacing w:before="156" w:beforeLines="50"/>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536190" cy="1690370"/>
                  <wp:effectExtent l="0" t="0" r="8890" b="1270"/>
                  <wp:docPr id="3" name="图片 3" descr="生活配套-餐厅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活配套-餐厅 (5)"/>
                          <pic:cNvPicPr>
                            <a:picLocks noChangeAspect="1"/>
                          </pic:cNvPicPr>
                        </pic:nvPicPr>
                        <pic:blipFill>
                          <a:blip r:embed="rId6"/>
                          <a:stretch>
                            <a:fillRect/>
                          </a:stretch>
                        </pic:blipFill>
                        <pic:spPr>
                          <a:xfrm>
                            <a:off x="0" y="0"/>
                            <a:ext cx="2536190" cy="16903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4" w:hRule="atLeast"/>
        </w:trPr>
        <w:tc>
          <w:tcPr>
            <w:tcW w:w="4261" w:type="dxa"/>
          </w:tcPr>
          <w:p>
            <w:pPr>
              <w:adjustRightInd w:val="0"/>
              <w:snapToGrid w:val="0"/>
              <w:spacing w:before="156" w:beforeLines="50"/>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557145" cy="1704975"/>
                  <wp:effectExtent l="0" t="0" r="3175" b="1905"/>
                  <wp:docPr id="4" name="图片 4" descr="宿舍楼-健身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宿舍楼-健身房 (3)"/>
                          <pic:cNvPicPr>
                            <a:picLocks noChangeAspect="1"/>
                          </pic:cNvPicPr>
                        </pic:nvPicPr>
                        <pic:blipFill>
                          <a:blip r:embed="rId7"/>
                          <a:stretch>
                            <a:fillRect/>
                          </a:stretch>
                        </pic:blipFill>
                        <pic:spPr>
                          <a:xfrm>
                            <a:off x="0" y="0"/>
                            <a:ext cx="2557145" cy="1704975"/>
                          </a:xfrm>
                          <a:prstGeom prst="rect">
                            <a:avLst/>
                          </a:prstGeom>
                        </pic:spPr>
                      </pic:pic>
                    </a:graphicData>
                  </a:graphic>
                </wp:inline>
              </w:drawing>
            </w:r>
          </w:p>
        </w:tc>
        <w:tc>
          <w:tcPr>
            <w:tcW w:w="4261" w:type="dxa"/>
          </w:tcPr>
          <w:p>
            <w:pPr>
              <w:adjustRightInd w:val="0"/>
              <w:snapToGrid w:val="0"/>
              <w:spacing w:before="156" w:beforeLines="50"/>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536190" cy="1690370"/>
                  <wp:effectExtent l="0" t="0" r="8890" b="1270"/>
                  <wp:docPr id="5" name="图片 5" descr="宿舍楼-洗衣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宿舍楼-洗衣房"/>
                          <pic:cNvPicPr>
                            <a:picLocks noChangeAspect="1"/>
                          </pic:cNvPicPr>
                        </pic:nvPicPr>
                        <pic:blipFill>
                          <a:blip r:embed="rId8"/>
                          <a:stretch>
                            <a:fillRect/>
                          </a:stretch>
                        </pic:blipFill>
                        <pic:spPr>
                          <a:xfrm>
                            <a:off x="0" y="0"/>
                            <a:ext cx="2536190" cy="1690370"/>
                          </a:xfrm>
                          <a:prstGeom prst="rect">
                            <a:avLst/>
                          </a:prstGeom>
                        </pic:spPr>
                      </pic:pic>
                    </a:graphicData>
                  </a:graphic>
                </wp:inline>
              </w:drawing>
            </w:r>
          </w:p>
        </w:tc>
      </w:tr>
    </w:tbl>
    <w:p>
      <w:pPr>
        <w:adjustRightInd w:val="0"/>
        <w:snapToGrid w:val="0"/>
        <w:spacing w:before="156" w:beforeLines="50" w:line="440" w:lineRule="exact"/>
        <w:ind w:firstLine="562"/>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宿舍楼</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adjustRightInd w:val="0"/>
              <w:snapToGrid w:val="0"/>
              <w:spacing w:before="156" w:beforeLines="50"/>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553970" cy="1692275"/>
                  <wp:effectExtent l="0" t="0" r="6350" b="14605"/>
                  <wp:docPr id="1" name="图片 1" descr="去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去水印"/>
                          <pic:cNvPicPr>
                            <a:picLocks noChangeAspect="1"/>
                          </pic:cNvPicPr>
                        </pic:nvPicPr>
                        <pic:blipFill>
                          <a:blip r:embed="rId9"/>
                          <a:stretch>
                            <a:fillRect/>
                          </a:stretch>
                        </pic:blipFill>
                        <pic:spPr>
                          <a:xfrm>
                            <a:off x="0" y="0"/>
                            <a:ext cx="2553970" cy="1692275"/>
                          </a:xfrm>
                          <a:prstGeom prst="rect">
                            <a:avLst/>
                          </a:prstGeom>
                        </pic:spPr>
                      </pic:pic>
                    </a:graphicData>
                  </a:graphic>
                </wp:inline>
              </w:drawing>
            </w:r>
          </w:p>
        </w:tc>
        <w:tc>
          <w:tcPr>
            <w:tcW w:w="4261" w:type="dxa"/>
          </w:tcPr>
          <w:p>
            <w:pPr>
              <w:adjustRightInd w:val="0"/>
              <w:snapToGrid w:val="0"/>
              <w:spacing w:before="156" w:beforeLines="50"/>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557145" cy="1704975"/>
                  <wp:effectExtent l="0" t="0" r="3175" b="1905"/>
                  <wp:docPr id="6" name="图片 6" descr="教学楼-学术报告厅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教学楼-学术报告厅01"/>
                          <pic:cNvPicPr>
                            <a:picLocks noChangeAspect="1"/>
                          </pic:cNvPicPr>
                        </pic:nvPicPr>
                        <pic:blipFill>
                          <a:blip r:embed="rId10"/>
                          <a:stretch>
                            <a:fillRect/>
                          </a:stretch>
                        </pic:blipFill>
                        <pic:spPr>
                          <a:xfrm>
                            <a:off x="0" y="0"/>
                            <a:ext cx="2557145" cy="1704975"/>
                          </a:xfrm>
                          <a:prstGeom prst="rect">
                            <a:avLst/>
                          </a:prstGeom>
                        </pic:spPr>
                      </pic:pic>
                    </a:graphicData>
                  </a:graphic>
                </wp:inline>
              </w:drawing>
            </w:r>
          </w:p>
        </w:tc>
      </w:tr>
    </w:tbl>
    <w:p>
      <w:pPr>
        <w:adjustRightInd w:val="0"/>
        <w:snapToGrid w:val="0"/>
        <w:spacing w:before="156" w:beforeLines="50" w:line="440" w:lineRule="exact"/>
        <w:ind w:firstLine="562"/>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教学楼</w:t>
      </w:r>
    </w:p>
    <w:tbl>
      <w:tblPr>
        <w:tblStyle w:val="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adjustRightInd w:val="0"/>
              <w:snapToGrid w:val="0"/>
              <w:spacing w:before="156" w:beforeLines="50"/>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534920" cy="2534920"/>
                  <wp:effectExtent l="0" t="0" r="10160" b="10160"/>
                  <wp:docPr id="7" name="图片 7" descr="实验楼-实验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实验楼-实验台2"/>
                          <pic:cNvPicPr>
                            <a:picLocks noChangeAspect="1"/>
                          </pic:cNvPicPr>
                        </pic:nvPicPr>
                        <pic:blipFill>
                          <a:blip r:embed="rId11"/>
                          <a:stretch>
                            <a:fillRect/>
                          </a:stretch>
                        </pic:blipFill>
                        <pic:spPr>
                          <a:xfrm>
                            <a:off x="0" y="0"/>
                            <a:ext cx="2534920" cy="2534920"/>
                          </a:xfrm>
                          <a:prstGeom prst="rect">
                            <a:avLst/>
                          </a:prstGeom>
                        </pic:spPr>
                      </pic:pic>
                    </a:graphicData>
                  </a:graphic>
                </wp:inline>
              </w:drawing>
            </w:r>
          </w:p>
        </w:tc>
        <w:tc>
          <w:tcPr>
            <w:tcW w:w="4261" w:type="dxa"/>
          </w:tcPr>
          <w:p>
            <w:pPr>
              <w:adjustRightInd w:val="0"/>
              <w:snapToGrid w:val="0"/>
              <w:spacing w:before="156" w:beforeLines="50"/>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2534920" cy="2534920"/>
                  <wp:effectExtent l="0" t="0" r="10160" b="10160"/>
                  <wp:docPr id="8" name="图片 8" descr="实验楼-实验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实验楼-实验台3"/>
                          <pic:cNvPicPr>
                            <a:picLocks noChangeAspect="1"/>
                          </pic:cNvPicPr>
                        </pic:nvPicPr>
                        <pic:blipFill>
                          <a:blip r:embed="rId12"/>
                          <a:stretch>
                            <a:fillRect/>
                          </a:stretch>
                        </pic:blipFill>
                        <pic:spPr>
                          <a:xfrm>
                            <a:off x="0" y="0"/>
                            <a:ext cx="2534920" cy="2534920"/>
                          </a:xfrm>
                          <a:prstGeom prst="rect">
                            <a:avLst/>
                          </a:prstGeom>
                        </pic:spPr>
                      </pic:pic>
                    </a:graphicData>
                  </a:graphic>
                </wp:inline>
              </w:drawing>
            </w:r>
          </w:p>
        </w:tc>
      </w:tr>
    </w:tbl>
    <w:p>
      <w:pPr>
        <w:adjustRightInd w:val="0"/>
        <w:snapToGrid w:val="0"/>
        <w:spacing w:before="156" w:beforeLines="50" w:line="440" w:lineRule="exact"/>
        <w:ind w:firstLine="562"/>
        <w:jc w:val="center"/>
        <w:rPr>
          <w:rFonts w:ascii="仿宋_GB2312" w:hAnsi="仿宋_GB2312" w:eastAsia="仿宋_GB2312" w:cs="仿宋_GB2312"/>
          <w:b/>
          <w:bCs/>
          <w:sz w:val="28"/>
          <w:szCs w:val="28"/>
        </w:rPr>
      </w:pPr>
      <w:r>
        <w:rPr>
          <w:rFonts w:hint="eastAsia" w:ascii="仿宋" w:hAnsi="仿宋" w:eastAsia="仿宋_GB2312" w:cs="方正仿宋"/>
          <w:b/>
          <w:bCs/>
          <w:sz w:val="28"/>
          <w:szCs w:val="28"/>
        </w:rPr>
        <w:t>实验楼</w:t>
      </w:r>
    </w:p>
    <w:p>
      <w:pPr>
        <w:ind w:firstLine="720"/>
        <w:rPr>
          <w:rFonts w:ascii="仿宋" w:hAnsi="仿宋" w:eastAsia="仿宋_GB2312" w:cs="方正仿宋"/>
          <w:sz w:val="36"/>
          <w:szCs w:val="36"/>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283" w:usb1="180F0C10" w:usb2="00000012" w:usb3="00000000" w:csb0="00040001" w:csb1="00000000"/>
  </w:font>
  <w:font w:name="仿宋">
    <w:panose1 w:val="02010609060101010101"/>
    <w:charset w:val="86"/>
    <w:family w:val="modern"/>
    <w:pitch w:val="default"/>
    <w:sig w:usb0="800002BF" w:usb1="38CF7CFA" w:usb2="00000016" w:usb3="00000000" w:csb0="00040001" w:csb1="00000000"/>
  </w:font>
  <w:font w:name="方正仿宋">
    <w:altName w:val="仿宋"/>
    <w:panose1 w:val="00000000000000000000"/>
    <w:charset w:val="00"/>
    <w:family w:val="auto"/>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27FBCF"/>
    <w:multiLevelType w:val="singleLevel"/>
    <w:tmpl w:val="BA27FBC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U0YzA2NmRmOGVlNTA1N2FjNzRmMTk4ZjMxOTgxNmIifQ=="/>
  </w:docVars>
  <w:rsids>
    <w:rsidRoot w:val="60D107BF"/>
    <w:rsid w:val="001F53A4"/>
    <w:rsid w:val="00207B92"/>
    <w:rsid w:val="0031057B"/>
    <w:rsid w:val="0033453D"/>
    <w:rsid w:val="00495F6B"/>
    <w:rsid w:val="005F0B21"/>
    <w:rsid w:val="00680F3D"/>
    <w:rsid w:val="006D0FD6"/>
    <w:rsid w:val="00774C77"/>
    <w:rsid w:val="008871B5"/>
    <w:rsid w:val="00F816F4"/>
    <w:rsid w:val="01AA3877"/>
    <w:rsid w:val="03382426"/>
    <w:rsid w:val="04766FCE"/>
    <w:rsid w:val="05B8103C"/>
    <w:rsid w:val="07D445CA"/>
    <w:rsid w:val="07F7533D"/>
    <w:rsid w:val="0AA3355A"/>
    <w:rsid w:val="0AD563E1"/>
    <w:rsid w:val="0B204BAA"/>
    <w:rsid w:val="0B4B01B3"/>
    <w:rsid w:val="0BC63A93"/>
    <w:rsid w:val="0D601BD0"/>
    <w:rsid w:val="0E946BC7"/>
    <w:rsid w:val="0F041E04"/>
    <w:rsid w:val="11274924"/>
    <w:rsid w:val="116559BC"/>
    <w:rsid w:val="134D0507"/>
    <w:rsid w:val="141476FE"/>
    <w:rsid w:val="145C6C53"/>
    <w:rsid w:val="14F36412"/>
    <w:rsid w:val="151632A6"/>
    <w:rsid w:val="155206C0"/>
    <w:rsid w:val="15F8174B"/>
    <w:rsid w:val="17E21B65"/>
    <w:rsid w:val="187C78C4"/>
    <w:rsid w:val="190155C4"/>
    <w:rsid w:val="19A473C3"/>
    <w:rsid w:val="1AD03EF7"/>
    <w:rsid w:val="1C5C6219"/>
    <w:rsid w:val="1C8313E9"/>
    <w:rsid w:val="1CC51A75"/>
    <w:rsid w:val="1D0717F7"/>
    <w:rsid w:val="1DDF11DE"/>
    <w:rsid w:val="1FFA24FD"/>
    <w:rsid w:val="20823B9E"/>
    <w:rsid w:val="215018EE"/>
    <w:rsid w:val="230233A8"/>
    <w:rsid w:val="24332AD9"/>
    <w:rsid w:val="248F6BD1"/>
    <w:rsid w:val="25842789"/>
    <w:rsid w:val="260C5D86"/>
    <w:rsid w:val="26EF6E90"/>
    <w:rsid w:val="272112E1"/>
    <w:rsid w:val="279664C8"/>
    <w:rsid w:val="27BF3329"/>
    <w:rsid w:val="28400B15"/>
    <w:rsid w:val="28BD72A1"/>
    <w:rsid w:val="2A4A1BB1"/>
    <w:rsid w:val="2E6E0F52"/>
    <w:rsid w:val="2FE04785"/>
    <w:rsid w:val="30331386"/>
    <w:rsid w:val="303D439F"/>
    <w:rsid w:val="304C5976"/>
    <w:rsid w:val="30C6397A"/>
    <w:rsid w:val="311118C1"/>
    <w:rsid w:val="32AC769E"/>
    <w:rsid w:val="3356362B"/>
    <w:rsid w:val="341D7D55"/>
    <w:rsid w:val="35ED3757"/>
    <w:rsid w:val="36622058"/>
    <w:rsid w:val="36AE449E"/>
    <w:rsid w:val="36F40B16"/>
    <w:rsid w:val="377D5942"/>
    <w:rsid w:val="3A576361"/>
    <w:rsid w:val="3A92248F"/>
    <w:rsid w:val="3B9950CB"/>
    <w:rsid w:val="3C145EE2"/>
    <w:rsid w:val="3CC12501"/>
    <w:rsid w:val="3E116CDA"/>
    <w:rsid w:val="3E483C21"/>
    <w:rsid w:val="3EAF3899"/>
    <w:rsid w:val="3ED76861"/>
    <w:rsid w:val="4056459D"/>
    <w:rsid w:val="40D07A1C"/>
    <w:rsid w:val="41667537"/>
    <w:rsid w:val="41C04416"/>
    <w:rsid w:val="41CA4D4B"/>
    <w:rsid w:val="43670FED"/>
    <w:rsid w:val="43CC52F4"/>
    <w:rsid w:val="440700DA"/>
    <w:rsid w:val="449000D0"/>
    <w:rsid w:val="44C818B0"/>
    <w:rsid w:val="48861F15"/>
    <w:rsid w:val="492360B3"/>
    <w:rsid w:val="49693B09"/>
    <w:rsid w:val="497A134E"/>
    <w:rsid w:val="4ACB711A"/>
    <w:rsid w:val="4C1B0BC7"/>
    <w:rsid w:val="4C3C209C"/>
    <w:rsid w:val="4CA20757"/>
    <w:rsid w:val="4D135D42"/>
    <w:rsid w:val="4D2223E5"/>
    <w:rsid w:val="4D480537"/>
    <w:rsid w:val="4EFB7F36"/>
    <w:rsid w:val="4F785B61"/>
    <w:rsid w:val="4F944B0A"/>
    <w:rsid w:val="4FD80B7D"/>
    <w:rsid w:val="502162C8"/>
    <w:rsid w:val="50D566DA"/>
    <w:rsid w:val="51110E1C"/>
    <w:rsid w:val="530A52C4"/>
    <w:rsid w:val="532C3E29"/>
    <w:rsid w:val="53540310"/>
    <w:rsid w:val="538928BA"/>
    <w:rsid w:val="53DA6930"/>
    <w:rsid w:val="563D1C2C"/>
    <w:rsid w:val="56CF7DE6"/>
    <w:rsid w:val="58184CA0"/>
    <w:rsid w:val="5A2B4006"/>
    <w:rsid w:val="5B0F5D9A"/>
    <w:rsid w:val="5B4E34EF"/>
    <w:rsid w:val="5B953DC6"/>
    <w:rsid w:val="5B98435F"/>
    <w:rsid w:val="5C66593E"/>
    <w:rsid w:val="5D0336DD"/>
    <w:rsid w:val="5D0F0A87"/>
    <w:rsid w:val="5EEB4428"/>
    <w:rsid w:val="5FB13360"/>
    <w:rsid w:val="6008100A"/>
    <w:rsid w:val="606770BF"/>
    <w:rsid w:val="60850A10"/>
    <w:rsid w:val="60D107BF"/>
    <w:rsid w:val="623C31ED"/>
    <w:rsid w:val="634C3904"/>
    <w:rsid w:val="64596D6B"/>
    <w:rsid w:val="650F03D1"/>
    <w:rsid w:val="658E5B0E"/>
    <w:rsid w:val="669B4AB8"/>
    <w:rsid w:val="673973D8"/>
    <w:rsid w:val="68B63CF9"/>
    <w:rsid w:val="68CD2DF1"/>
    <w:rsid w:val="6C224524"/>
    <w:rsid w:val="6DC7054C"/>
    <w:rsid w:val="6E6B0250"/>
    <w:rsid w:val="6F3A0AB4"/>
    <w:rsid w:val="6FB865A9"/>
    <w:rsid w:val="70597803"/>
    <w:rsid w:val="735D5551"/>
    <w:rsid w:val="750D391C"/>
    <w:rsid w:val="758478B3"/>
    <w:rsid w:val="75F55420"/>
    <w:rsid w:val="77AF6676"/>
    <w:rsid w:val="783B4D3C"/>
    <w:rsid w:val="78641FE4"/>
    <w:rsid w:val="78F07D11"/>
    <w:rsid w:val="78F148D9"/>
    <w:rsid w:val="79626C19"/>
    <w:rsid w:val="7A855AF3"/>
    <w:rsid w:val="7ABA5A4B"/>
    <w:rsid w:val="7C064792"/>
    <w:rsid w:val="7CE22D7C"/>
    <w:rsid w:val="7CFD3A8E"/>
    <w:rsid w:val="7E7031DC"/>
    <w:rsid w:val="7E861620"/>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unhideWhenUsed/>
    <w:qFormat/>
    <w:uiPriority w:val="1"/>
  </w:style>
  <w:style w:type="table" w:default="1" w:styleId="2">
    <w:name w:val="Normal Table"/>
    <w:autoRedefine/>
    <w:semiHidden/>
    <w:unhideWhenUsed/>
    <w:qFormat/>
    <w:uiPriority w:val="99"/>
    <w:tblPr>
      <w:tblCellMar>
        <w:top w:w="0" w:type="dxa"/>
        <w:left w:w="108" w:type="dxa"/>
        <w:bottom w:w="0" w:type="dxa"/>
        <w:right w:w="108" w:type="dxa"/>
      </w:tblCellMar>
    </w:tblPr>
  </w:style>
  <w:style w:type="table" w:styleId="3">
    <w:name w:val="Table Grid"/>
    <w:basedOn w:val="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211</Words>
  <Characters>1206</Characters>
  <Lines>10</Lines>
  <Paragraphs>2</Paragraphs>
  <TotalTime>4</TotalTime>
  <ScaleCrop>false</ScaleCrop>
  <LinksUpToDate>false</LinksUpToDate>
  <CharactersWithSpaces>1415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2024-03-08T02:31:00Z</dcterms:created>
  <dc:creator>阳暘·君</dc:creator>
  <cp:lastModifiedBy>阳暘·君</cp:lastModifiedBy>
  <cp:lastPrinted>2024-03-07T03:26:00Z</cp:lastPrinted>
  <dcterms:modified xsi:type="dcterms:W3CDTF">2024-03-21T07:55:48Z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BCFC50CDE4A9475B9654202D11352F50_11</vt:lpwstr>
  </property>
</Properties>
</file>