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jc w:val="center"/>
        <w:rPr>
          <w:rFonts w:ascii="仿宋" w:hAnsi="仿宋" w:eastAsia="仿宋" w:cs="仿宋"/>
          <w:b/>
          <w:kern w:val="0"/>
          <w:sz w:val="32"/>
          <w:szCs w:val="32"/>
        </w:rPr>
      </w:pPr>
      <w:bookmarkStart w:id="2" w:name="_GoBack"/>
      <w:bookmarkEnd w:id="2"/>
      <w:r>
        <w:rPr>
          <w:rFonts w:hint="eastAsia" w:ascii="仿宋" w:hAnsi="仿宋" w:eastAsia="仿宋" w:cs="仿宋"/>
          <w:b/>
          <w:kern w:val="0"/>
          <w:sz w:val="32"/>
          <w:szCs w:val="32"/>
        </w:rPr>
        <w:t>北京交通大学土木建筑工程学院2024年硕士研究生复试</w:t>
      </w:r>
    </w:p>
    <w:p>
      <w:pPr>
        <w:widowControl/>
        <w:spacing w:line="560" w:lineRule="exact"/>
        <w:jc w:val="center"/>
        <w:rPr>
          <w:rFonts w:ascii="仿宋" w:hAnsi="仿宋" w:eastAsia="仿宋" w:cs="仿宋"/>
          <w:b/>
          <w:kern w:val="0"/>
          <w:sz w:val="32"/>
          <w:szCs w:val="32"/>
        </w:rPr>
      </w:pPr>
      <w:r>
        <w:rPr>
          <w:rFonts w:hint="eastAsia" w:ascii="仿宋" w:hAnsi="仿宋" w:eastAsia="仿宋" w:cs="仿宋"/>
          <w:b/>
          <w:kern w:val="0"/>
          <w:sz w:val="32"/>
          <w:szCs w:val="32"/>
        </w:rPr>
        <w:t>录取工作办法</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为做好我院2024年硕士研究生复试录取工作，依据《北京交通大学2024年硕士研究生复试录取工作方案》，结合我院具体情况，制定本办法。</w:t>
      </w:r>
    </w:p>
    <w:p>
      <w:pPr>
        <w:pStyle w:val="26"/>
        <w:widowControl/>
        <w:spacing w:line="560" w:lineRule="exact"/>
        <w:ind w:firstLine="0" w:firstLineChars="0"/>
        <w:jc w:val="left"/>
        <w:rPr>
          <w:rFonts w:ascii="仿宋" w:hAnsi="仿宋" w:eastAsia="仿宋" w:cs="仿宋"/>
          <w:b/>
          <w:kern w:val="0"/>
          <w:sz w:val="30"/>
          <w:szCs w:val="30"/>
        </w:rPr>
      </w:pPr>
      <w:r>
        <w:rPr>
          <w:rFonts w:hint="eastAsia" w:ascii="仿宋" w:hAnsi="仿宋" w:eastAsia="仿宋" w:cs="仿宋"/>
          <w:b/>
          <w:kern w:val="0"/>
          <w:sz w:val="30"/>
          <w:szCs w:val="30"/>
        </w:rPr>
        <w:t>一、考生复试资格及相关说明</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我院2024年硕士研究生招生复试考核采取现场复试。</w:t>
      </w:r>
    </w:p>
    <w:p>
      <w:pPr>
        <w:pStyle w:val="26"/>
        <w:widowControl/>
        <w:spacing w:line="560" w:lineRule="exact"/>
        <w:ind w:left="420"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（一）复试比例</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我院复试采取差额形式，复试比例一般不低于120%，上线人数不足的专业除外。</w:t>
      </w:r>
    </w:p>
    <w:p>
      <w:pPr>
        <w:pStyle w:val="26"/>
        <w:widowControl/>
        <w:spacing w:line="560" w:lineRule="exact"/>
        <w:ind w:left="420"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（二）复试专业及拟录取人数、复试分数</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我院各专业拟录取人数及复试分数线，详见表1。单科分数线为A类国家线。</w:t>
      </w:r>
    </w:p>
    <w:p>
      <w:pPr>
        <w:widowControl/>
        <w:spacing w:line="560" w:lineRule="exact"/>
        <w:ind w:firstLine="539"/>
        <w:jc w:val="center"/>
        <w:rPr>
          <w:rFonts w:ascii="仿宋" w:hAnsi="仿宋" w:eastAsia="仿宋" w:cs="仿宋"/>
          <w:bCs/>
          <w:kern w:val="0"/>
          <w:sz w:val="24"/>
        </w:rPr>
      </w:pPr>
      <w:r>
        <w:rPr>
          <w:rFonts w:hint="eastAsia" w:ascii="仿宋" w:hAnsi="仿宋" w:eastAsia="仿宋" w:cs="仿宋"/>
          <w:bCs/>
          <w:color w:val="000000"/>
          <w:kern w:val="0"/>
          <w:sz w:val="24"/>
        </w:rPr>
        <w:t>表1</w:t>
      </w:r>
      <w:r>
        <w:rPr>
          <w:rFonts w:ascii="Calibri" w:hAnsi="Calibri" w:eastAsia="仿宋" w:cs="Calibri"/>
          <w:bCs/>
          <w:color w:val="000000"/>
          <w:kern w:val="0"/>
          <w:sz w:val="24"/>
        </w:rPr>
        <w:t>  </w:t>
      </w:r>
      <w:r>
        <w:rPr>
          <w:rFonts w:hint="eastAsia" w:ascii="仿宋" w:hAnsi="仿宋" w:eastAsia="仿宋" w:cs="仿宋"/>
          <w:bCs/>
          <w:kern w:val="0"/>
          <w:sz w:val="24"/>
        </w:rPr>
        <w:t>2024年各专业拟录取人数及复试分数线</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552"/>
        <w:gridCol w:w="1134"/>
        <w:gridCol w:w="1275"/>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widowControl/>
              <w:spacing w:line="400" w:lineRule="exact"/>
              <w:jc w:val="center"/>
              <w:rPr>
                <w:rFonts w:hint="eastAsia" w:ascii="仿宋" w:hAnsi="仿宋" w:eastAsia="仿宋" w:cs="仿宋"/>
                <w:bCs/>
                <w:kern w:val="0"/>
                <w:sz w:val="24"/>
              </w:rPr>
            </w:pPr>
            <w:r>
              <w:rPr>
                <w:rFonts w:hint="eastAsia" w:ascii="仿宋" w:hAnsi="仿宋" w:eastAsia="仿宋" w:cs="仿宋"/>
                <w:bCs/>
                <w:kern w:val="0"/>
                <w:sz w:val="24"/>
              </w:rPr>
              <w:t>代码</w:t>
            </w:r>
          </w:p>
        </w:tc>
        <w:tc>
          <w:tcPr>
            <w:tcW w:w="2552" w:type="dxa"/>
          </w:tcPr>
          <w:p>
            <w:pPr>
              <w:widowControl/>
              <w:spacing w:line="400" w:lineRule="exact"/>
              <w:jc w:val="center"/>
              <w:rPr>
                <w:rFonts w:hint="eastAsia" w:ascii="仿宋" w:hAnsi="仿宋" w:eastAsia="仿宋" w:cs="仿宋"/>
                <w:bCs/>
                <w:kern w:val="0"/>
                <w:sz w:val="24"/>
              </w:rPr>
            </w:pPr>
            <w:r>
              <w:rPr>
                <w:rFonts w:hint="eastAsia" w:ascii="仿宋" w:hAnsi="仿宋" w:eastAsia="仿宋"/>
                <w:sz w:val="24"/>
              </w:rPr>
              <w:t>专业</w:t>
            </w:r>
          </w:p>
        </w:tc>
        <w:tc>
          <w:tcPr>
            <w:tcW w:w="1134" w:type="dxa"/>
          </w:tcPr>
          <w:p>
            <w:pPr>
              <w:widowControl/>
              <w:spacing w:line="400" w:lineRule="exact"/>
              <w:jc w:val="center"/>
              <w:rPr>
                <w:rFonts w:hint="eastAsia" w:ascii="仿宋" w:hAnsi="仿宋" w:eastAsia="仿宋" w:cs="仿宋"/>
                <w:bCs/>
                <w:kern w:val="0"/>
                <w:sz w:val="24"/>
              </w:rPr>
            </w:pPr>
            <w:r>
              <w:rPr>
                <w:rFonts w:hint="eastAsia" w:ascii="仿宋" w:hAnsi="仿宋" w:eastAsia="仿宋"/>
                <w:sz w:val="24"/>
              </w:rPr>
              <w:t>拟录人数</w:t>
            </w:r>
          </w:p>
        </w:tc>
        <w:tc>
          <w:tcPr>
            <w:tcW w:w="1275" w:type="dxa"/>
          </w:tcPr>
          <w:p>
            <w:pPr>
              <w:widowControl/>
              <w:spacing w:line="400" w:lineRule="exact"/>
              <w:jc w:val="center"/>
              <w:rPr>
                <w:rFonts w:hint="eastAsia" w:ascii="仿宋" w:hAnsi="仿宋" w:eastAsia="仿宋" w:cs="仿宋"/>
                <w:bCs/>
                <w:kern w:val="0"/>
                <w:sz w:val="24"/>
              </w:rPr>
            </w:pPr>
            <w:r>
              <w:rPr>
                <w:rFonts w:hint="eastAsia" w:ascii="仿宋" w:hAnsi="仿宋" w:eastAsia="仿宋"/>
                <w:sz w:val="24"/>
              </w:rPr>
              <w:t>复试线</w:t>
            </w:r>
          </w:p>
        </w:tc>
        <w:tc>
          <w:tcPr>
            <w:tcW w:w="3396" w:type="dxa"/>
          </w:tcPr>
          <w:p>
            <w:pPr>
              <w:widowControl/>
              <w:spacing w:line="400" w:lineRule="exact"/>
              <w:jc w:val="center"/>
              <w:rPr>
                <w:rFonts w:hint="eastAsia" w:ascii="仿宋" w:hAnsi="仿宋" w:eastAsia="仿宋" w:cs="仿宋"/>
                <w:bCs/>
                <w:kern w:val="0"/>
                <w:sz w:val="24"/>
              </w:rPr>
            </w:pPr>
            <w:r>
              <w:rPr>
                <w:rFonts w:hint="eastAsia" w:ascii="仿宋" w:hAnsi="仿宋" w:eastAsia="仿宋" w:cs="仿宋"/>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line="400" w:lineRule="exact"/>
              <w:jc w:val="center"/>
              <w:rPr>
                <w:rFonts w:eastAsia="仿宋"/>
                <w:bCs/>
                <w:kern w:val="0"/>
                <w:sz w:val="24"/>
              </w:rPr>
            </w:pPr>
            <w:r>
              <w:rPr>
                <w:rFonts w:eastAsia="仿宋"/>
                <w:bCs/>
                <w:kern w:val="0"/>
                <w:sz w:val="24"/>
              </w:rPr>
              <w:t>081400</w:t>
            </w:r>
          </w:p>
        </w:tc>
        <w:tc>
          <w:tcPr>
            <w:tcW w:w="2552" w:type="dxa"/>
          </w:tcPr>
          <w:p>
            <w:pPr>
              <w:widowControl/>
              <w:spacing w:line="400" w:lineRule="exact"/>
              <w:jc w:val="center"/>
              <w:rPr>
                <w:rFonts w:eastAsia="仿宋"/>
                <w:bCs/>
                <w:kern w:val="0"/>
                <w:sz w:val="24"/>
              </w:rPr>
            </w:pPr>
            <w:r>
              <w:rPr>
                <w:rFonts w:eastAsia="仿宋"/>
                <w:sz w:val="24"/>
              </w:rPr>
              <w:t>土木工程</w:t>
            </w:r>
          </w:p>
        </w:tc>
        <w:tc>
          <w:tcPr>
            <w:tcW w:w="1134" w:type="dxa"/>
          </w:tcPr>
          <w:p>
            <w:pPr>
              <w:widowControl/>
              <w:spacing w:line="400" w:lineRule="exact"/>
              <w:jc w:val="center"/>
              <w:rPr>
                <w:rFonts w:eastAsia="仿宋"/>
                <w:bCs/>
                <w:kern w:val="0"/>
                <w:sz w:val="24"/>
              </w:rPr>
            </w:pPr>
            <w:r>
              <w:rPr>
                <w:rFonts w:eastAsia="仿宋"/>
                <w:sz w:val="24"/>
              </w:rPr>
              <w:t>53</w:t>
            </w:r>
          </w:p>
        </w:tc>
        <w:tc>
          <w:tcPr>
            <w:tcW w:w="1275" w:type="dxa"/>
          </w:tcPr>
          <w:p>
            <w:pPr>
              <w:widowControl/>
              <w:spacing w:line="400" w:lineRule="exact"/>
              <w:jc w:val="center"/>
              <w:rPr>
                <w:rFonts w:eastAsia="仿宋"/>
                <w:bCs/>
                <w:kern w:val="0"/>
                <w:sz w:val="24"/>
              </w:rPr>
            </w:pPr>
            <w:r>
              <w:rPr>
                <w:rFonts w:eastAsia="仿宋"/>
                <w:sz w:val="24"/>
              </w:rPr>
              <w:t>333</w:t>
            </w:r>
          </w:p>
        </w:tc>
        <w:tc>
          <w:tcPr>
            <w:tcW w:w="3396" w:type="dxa"/>
          </w:tcPr>
          <w:p>
            <w:pPr>
              <w:widowControl/>
              <w:spacing w:line="400" w:lineRule="exact"/>
              <w:jc w:val="center"/>
              <w:rPr>
                <w:rFonts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line="400" w:lineRule="exact"/>
              <w:jc w:val="center"/>
              <w:rPr>
                <w:rFonts w:eastAsia="仿宋"/>
                <w:bCs/>
                <w:kern w:val="0"/>
                <w:sz w:val="24"/>
              </w:rPr>
            </w:pPr>
            <w:r>
              <w:rPr>
                <w:rFonts w:eastAsia="仿宋"/>
                <w:bCs/>
                <w:kern w:val="0"/>
                <w:sz w:val="24"/>
              </w:rPr>
              <w:t>082301</w:t>
            </w:r>
          </w:p>
        </w:tc>
        <w:tc>
          <w:tcPr>
            <w:tcW w:w="2552" w:type="dxa"/>
          </w:tcPr>
          <w:p>
            <w:pPr>
              <w:widowControl/>
              <w:spacing w:line="400" w:lineRule="exact"/>
              <w:jc w:val="center"/>
              <w:rPr>
                <w:rFonts w:eastAsia="仿宋"/>
                <w:bCs/>
                <w:kern w:val="0"/>
                <w:sz w:val="24"/>
              </w:rPr>
            </w:pPr>
            <w:r>
              <w:rPr>
                <w:rFonts w:eastAsia="仿宋"/>
                <w:sz w:val="24"/>
              </w:rPr>
              <w:t>道路与铁道工程</w:t>
            </w:r>
          </w:p>
        </w:tc>
        <w:tc>
          <w:tcPr>
            <w:tcW w:w="1134" w:type="dxa"/>
          </w:tcPr>
          <w:p>
            <w:pPr>
              <w:widowControl/>
              <w:spacing w:line="400" w:lineRule="exact"/>
              <w:jc w:val="center"/>
              <w:rPr>
                <w:rFonts w:eastAsia="仿宋"/>
                <w:bCs/>
                <w:kern w:val="0"/>
                <w:sz w:val="24"/>
              </w:rPr>
            </w:pPr>
            <w:r>
              <w:rPr>
                <w:rFonts w:eastAsia="仿宋"/>
                <w:sz w:val="24"/>
              </w:rPr>
              <w:t>20</w:t>
            </w:r>
          </w:p>
        </w:tc>
        <w:tc>
          <w:tcPr>
            <w:tcW w:w="1275" w:type="dxa"/>
          </w:tcPr>
          <w:p>
            <w:pPr>
              <w:widowControl/>
              <w:spacing w:line="400" w:lineRule="exact"/>
              <w:jc w:val="center"/>
              <w:rPr>
                <w:rFonts w:eastAsia="仿宋"/>
                <w:bCs/>
                <w:kern w:val="0"/>
                <w:sz w:val="24"/>
              </w:rPr>
            </w:pPr>
            <w:r>
              <w:rPr>
                <w:rFonts w:eastAsia="仿宋"/>
                <w:sz w:val="24"/>
              </w:rPr>
              <w:t>317</w:t>
            </w:r>
          </w:p>
        </w:tc>
        <w:tc>
          <w:tcPr>
            <w:tcW w:w="3396" w:type="dxa"/>
          </w:tcPr>
          <w:p>
            <w:pPr>
              <w:widowControl/>
              <w:spacing w:line="400" w:lineRule="exact"/>
              <w:jc w:val="center"/>
              <w:rPr>
                <w:rFonts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line="400" w:lineRule="exact"/>
              <w:jc w:val="center"/>
              <w:rPr>
                <w:rFonts w:eastAsia="仿宋"/>
                <w:bCs/>
                <w:kern w:val="0"/>
                <w:sz w:val="24"/>
              </w:rPr>
            </w:pPr>
            <w:r>
              <w:rPr>
                <w:rFonts w:eastAsia="仿宋"/>
                <w:bCs/>
                <w:kern w:val="0"/>
                <w:sz w:val="24"/>
              </w:rPr>
              <w:t>085410</w:t>
            </w:r>
          </w:p>
        </w:tc>
        <w:tc>
          <w:tcPr>
            <w:tcW w:w="2552" w:type="dxa"/>
          </w:tcPr>
          <w:p>
            <w:pPr>
              <w:widowControl/>
              <w:spacing w:line="400" w:lineRule="exact"/>
              <w:jc w:val="center"/>
              <w:rPr>
                <w:rFonts w:eastAsia="仿宋"/>
                <w:bCs/>
                <w:kern w:val="0"/>
                <w:sz w:val="24"/>
              </w:rPr>
            </w:pPr>
            <w:r>
              <w:rPr>
                <w:rFonts w:eastAsia="仿宋"/>
                <w:sz w:val="24"/>
              </w:rPr>
              <w:t>人工智能</w:t>
            </w:r>
          </w:p>
        </w:tc>
        <w:tc>
          <w:tcPr>
            <w:tcW w:w="1134" w:type="dxa"/>
          </w:tcPr>
          <w:p>
            <w:pPr>
              <w:widowControl/>
              <w:spacing w:line="400" w:lineRule="exact"/>
              <w:jc w:val="center"/>
              <w:rPr>
                <w:rFonts w:eastAsia="仿宋"/>
                <w:bCs/>
                <w:kern w:val="0"/>
                <w:sz w:val="24"/>
              </w:rPr>
            </w:pPr>
            <w:r>
              <w:rPr>
                <w:rFonts w:eastAsia="仿宋"/>
                <w:sz w:val="24"/>
              </w:rPr>
              <w:t>1</w:t>
            </w:r>
          </w:p>
        </w:tc>
        <w:tc>
          <w:tcPr>
            <w:tcW w:w="1275" w:type="dxa"/>
          </w:tcPr>
          <w:p>
            <w:pPr>
              <w:widowControl/>
              <w:spacing w:line="400" w:lineRule="exact"/>
              <w:jc w:val="center"/>
              <w:rPr>
                <w:rFonts w:eastAsia="仿宋"/>
                <w:bCs/>
                <w:kern w:val="0"/>
                <w:sz w:val="24"/>
              </w:rPr>
            </w:pPr>
            <w:r>
              <w:rPr>
                <w:rFonts w:eastAsia="仿宋"/>
                <w:sz w:val="24"/>
              </w:rPr>
              <w:t>300</w:t>
            </w:r>
          </w:p>
        </w:tc>
        <w:tc>
          <w:tcPr>
            <w:tcW w:w="3396" w:type="dxa"/>
          </w:tcPr>
          <w:p>
            <w:pPr>
              <w:widowControl/>
              <w:spacing w:line="400" w:lineRule="exact"/>
              <w:jc w:val="center"/>
              <w:rPr>
                <w:rFonts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line="400" w:lineRule="exact"/>
              <w:jc w:val="center"/>
              <w:rPr>
                <w:rFonts w:eastAsia="仿宋"/>
                <w:bCs/>
                <w:kern w:val="0"/>
                <w:sz w:val="24"/>
              </w:rPr>
            </w:pPr>
            <w:r>
              <w:rPr>
                <w:rFonts w:eastAsia="仿宋"/>
                <w:bCs/>
                <w:kern w:val="0"/>
                <w:sz w:val="24"/>
              </w:rPr>
              <w:t>085901</w:t>
            </w:r>
          </w:p>
        </w:tc>
        <w:tc>
          <w:tcPr>
            <w:tcW w:w="2552" w:type="dxa"/>
          </w:tcPr>
          <w:p>
            <w:pPr>
              <w:widowControl/>
              <w:spacing w:line="400" w:lineRule="exact"/>
              <w:jc w:val="center"/>
              <w:rPr>
                <w:rFonts w:eastAsia="仿宋"/>
                <w:bCs/>
                <w:kern w:val="0"/>
                <w:sz w:val="24"/>
              </w:rPr>
            </w:pPr>
            <w:r>
              <w:rPr>
                <w:rFonts w:eastAsia="仿宋"/>
                <w:sz w:val="24"/>
              </w:rPr>
              <w:t>土木工程（全日制）</w:t>
            </w:r>
          </w:p>
        </w:tc>
        <w:tc>
          <w:tcPr>
            <w:tcW w:w="1134" w:type="dxa"/>
          </w:tcPr>
          <w:p>
            <w:pPr>
              <w:widowControl/>
              <w:spacing w:line="400" w:lineRule="exact"/>
              <w:jc w:val="center"/>
              <w:rPr>
                <w:rFonts w:eastAsia="仿宋"/>
                <w:bCs/>
                <w:kern w:val="0"/>
                <w:sz w:val="24"/>
              </w:rPr>
            </w:pPr>
            <w:r>
              <w:rPr>
                <w:rFonts w:eastAsia="仿宋"/>
                <w:sz w:val="24"/>
              </w:rPr>
              <w:t>93</w:t>
            </w:r>
          </w:p>
        </w:tc>
        <w:tc>
          <w:tcPr>
            <w:tcW w:w="1275" w:type="dxa"/>
          </w:tcPr>
          <w:p>
            <w:pPr>
              <w:widowControl/>
              <w:spacing w:line="400" w:lineRule="exact"/>
              <w:jc w:val="center"/>
              <w:rPr>
                <w:rFonts w:eastAsia="仿宋"/>
                <w:bCs/>
                <w:kern w:val="0"/>
                <w:sz w:val="24"/>
              </w:rPr>
            </w:pPr>
            <w:r>
              <w:rPr>
                <w:rFonts w:eastAsia="仿宋"/>
                <w:sz w:val="24"/>
              </w:rPr>
              <w:t>280</w:t>
            </w:r>
          </w:p>
        </w:tc>
        <w:tc>
          <w:tcPr>
            <w:tcW w:w="3396" w:type="dxa"/>
          </w:tcPr>
          <w:p>
            <w:pPr>
              <w:widowControl/>
              <w:spacing w:line="400" w:lineRule="exact"/>
              <w:jc w:val="center"/>
              <w:rPr>
                <w:rFonts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line="400" w:lineRule="exact"/>
              <w:jc w:val="center"/>
              <w:rPr>
                <w:rFonts w:eastAsia="仿宋"/>
                <w:bCs/>
                <w:kern w:val="0"/>
                <w:sz w:val="24"/>
              </w:rPr>
            </w:pPr>
            <w:r>
              <w:rPr>
                <w:rFonts w:eastAsia="仿宋"/>
                <w:bCs/>
                <w:kern w:val="0"/>
                <w:sz w:val="24"/>
              </w:rPr>
              <w:t>086100</w:t>
            </w:r>
          </w:p>
        </w:tc>
        <w:tc>
          <w:tcPr>
            <w:tcW w:w="2552" w:type="dxa"/>
          </w:tcPr>
          <w:p>
            <w:pPr>
              <w:widowControl/>
              <w:spacing w:line="400" w:lineRule="exact"/>
              <w:jc w:val="center"/>
              <w:rPr>
                <w:rFonts w:eastAsia="仿宋"/>
                <w:bCs/>
                <w:kern w:val="0"/>
                <w:sz w:val="24"/>
              </w:rPr>
            </w:pPr>
            <w:r>
              <w:rPr>
                <w:rFonts w:eastAsia="仿宋"/>
                <w:sz w:val="24"/>
              </w:rPr>
              <w:t>交通运输（全日制）</w:t>
            </w:r>
          </w:p>
        </w:tc>
        <w:tc>
          <w:tcPr>
            <w:tcW w:w="1134" w:type="dxa"/>
          </w:tcPr>
          <w:p>
            <w:pPr>
              <w:widowControl/>
              <w:spacing w:line="400" w:lineRule="exact"/>
              <w:jc w:val="center"/>
              <w:rPr>
                <w:rFonts w:eastAsia="仿宋"/>
                <w:bCs/>
                <w:kern w:val="0"/>
                <w:sz w:val="24"/>
              </w:rPr>
            </w:pPr>
            <w:r>
              <w:rPr>
                <w:rFonts w:eastAsia="仿宋"/>
                <w:sz w:val="24"/>
              </w:rPr>
              <w:t>2</w:t>
            </w:r>
          </w:p>
        </w:tc>
        <w:tc>
          <w:tcPr>
            <w:tcW w:w="1275" w:type="dxa"/>
          </w:tcPr>
          <w:p>
            <w:pPr>
              <w:widowControl/>
              <w:spacing w:line="400" w:lineRule="exact"/>
              <w:jc w:val="center"/>
              <w:rPr>
                <w:rFonts w:eastAsia="仿宋"/>
                <w:bCs/>
                <w:kern w:val="0"/>
                <w:sz w:val="24"/>
              </w:rPr>
            </w:pPr>
            <w:r>
              <w:rPr>
                <w:rFonts w:eastAsia="仿宋"/>
                <w:sz w:val="24"/>
              </w:rPr>
              <w:t>285</w:t>
            </w:r>
          </w:p>
        </w:tc>
        <w:tc>
          <w:tcPr>
            <w:tcW w:w="3396" w:type="dxa"/>
          </w:tcPr>
          <w:p>
            <w:pPr>
              <w:widowControl/>
              <w:spacing w:line="400" w:lineRule="exact"/>
              <w:jc w:val="center"/>
              <w:rPr>
                <w:rFonts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spacing w:line="400" w:lineRule="exact"/>
              <w:jc w:val="center"/>
              <w:rPr>
                <w:rFonts w:eastAsia="仿宋"/>
                <w:bCs/>
                <w:kern w:val="0"/>
                <w:sz w:val="24"/>
              </w:rPr>
            </w:pPr>
            <w:r>
              <w:rPr>
                <w:rFonts w:eastAsia="仿宋"/>
                <w:bCs/>
                <w:kern w:val="0"/>
                <w:sz w:val="24"/>
              </w:rPr>
              <w:t>085601</w:t>
            </w:r>
          </w:p>
        </w:tc>
        <w:tc>
          <w:tcPr>
            <w:tcW w:w="2552" w:type="dxa"/>
          </w:tcPr>
          <w:p>
            <w:pPr>
              <w:widowControl/>
              <w:spacing w:line="400" w:lineRule="exact"/>
              <w:jc w:val="center"/>
              <w:rPr>
                <w:rFonts w:eastAsia="仿宋"/>
                <w:bCs/>
                <w:kern w:val="0"/>
                <w:sz w:val="24"/>
              </w:rPr>
            </w:pPr>
            <w:r>
              <w:rPr>
                <w:rFonts w:eastAsia="仿宋"/>
                <w:bCs/>
                <w:color w:val="000000"/>
                <w:kern w:val="0"/>
                <w:sz w:val="24"/>
              </w:rPr>
              <w:t>材料工程</w:t>
            </w:r>
          </w:p>
        </w:tc>
        <w:tc>
          <w:tcPr>
            <w:tcW w:w="1134" w:type="dxa"/>
          </w:tcPr>
          <w:p>
            <w:pPr>
              <w:widowControl/>
              <w:spacing w:line="400" w:lineRule="exact"/>
              <w:jc w:val="center"/>
              <w:rPr>
                <w:rFonts w:eastAsia="仿宋"/>
                <w:bCs/>
                <w:kern w:val="0"/>
                <w:sz w:val="24"/>
              </w:rPr>
            </w:pPr>
          </w:p>
        </w:tc>
        <w:tc>
          <w:tcPr>
            <w:tcW w:w="1275" w:type="dxa"/>
          </w:tcPr>
          <w:p>
            <w:pPr>
              <w:widowControl/>
              <w:spacing w:line="400" w:lineRule="exact"/>
              <w:jc w:val="center"/>
              <w:rPr>
                <w:rFonts w:eastAsia="仿宋"/>
                <w:bCs/>
                <w:kern w:val="0"/>
                <w:sz w:val="24"/>
              </w:rPr>
            </w:pPr>
            <w:r>
              <w:rPr>
                <w:rFonts w:eastAsia="仿宋"/>
                <w:bCs/>
                <w:color w:val="000000"/>
                <w:kern w:val="0"/>
                <w:sz w:val="24"/>
              </w:rPr>
              <w:t>273</w:t>
            </w:r>
          </w:p>
        </w:tc>
        <w:tc>
          <w:tcPr>
            <w:tcW w:w="3396" w:type="dxa"/>
          </w:tcPr>
          <w:p>
            <w:pPr>
              <w:widowControl/>
              <w:spacing w:line="400" w:lineRule="exact"/>
              <w:jc w:val="center"/>
              <w:rPr>
                <w:rFonts w:eastAsia="仿宋"/>
                <w:bCs/>
                <w:kern w:val="0"/>
                <w:sz w:val="24"/>
              </w:rPr>
            </w:pPr>
            <w:r>
              <w:rPr>
                <w:rFonts w:eastAsia="仿宋"/>
                <w:bCs/>
                <w:color w:val="000000"/>
                <w:kern w:val="0"/>
                <w:sz w:val="24"/>
              </w:rPr>
              <w:t>一志愿上国家线人数为零，招生计划调整为零</w:t>
            </w:r>
          </w:p>
        </w:tc>
      </w:tr>
    </w:tbl>
    <w:p>
      <w:pPr>
        <w:widowControl/>
        <w:ind w:firstLine="720" w:firstLineChars="300"/>
        <w:jc w:val="left"/>
        <w:rPr>
          <w:rFonts w:ascii="仿宋" w:hAnsi="仿宋" w:eastAsia="仿宋" w:cs="仿宋"/>
          <w:bCs/>
          <w:color w:val="000000"/>
          <w:kern w:val="0"/>
          <w:sz w:val="24"/>
        </w:rPr>
      </w:pPr>
      <w:r>
        <w:rPr>
          <w:rFonts w:hint="eastAsia" w:ascii="仿宋" w:hAnsi="仿宋" w:eastAsia="仿宋" w:cs="仿宋"/>
          <w:bCs/>
          <w:color w:val="000000"/>
          <w:kern w:val="0"/>
          <w:sz w:val="24"/>
        </w:rPr>
        <w:t>注1：招生人数最终以实际录取人数为准。</w:t>
      </w:r>
    </w:p>
    <w:p>
      <w:pPr>
        <w:widowControl/>
        <w:ind w:firstLine="720" w:firstLineChars="300"/>
        <w:jc w:val="left"/>
        <w:rPr>
          <w:rFonts w:ascii="仿宋" w:hAnsi="仿宋" w:eastAsia="仿宋" w:cs="仿宋"/>
          <w:bCs/>
          <w:color w:val="000000"/>
          <w:kern w:val="0"/>
          <w:sz w:val="24"/>
        </w:rPr>
      </w:pPr>
      <w:r>
        <w:rPr>
          <w:rFonts w:hint="eastAsia" w:ascii="仿宋" w:hAnsi="仿宋" w:eastAsia="仿宋" w:cs="仿宋"/>
          <w:bCs/>
          <w:color w:val="000000"/>
          <w:kern w:val="0"/>
          <w:sz w:val="24"/>
        </w:rPr>
        <w:t>注2：不含“退役大学生士兵计划” “少数民族高层次骨干人才计划”。</w:t>
      </w:r>
    </w:p>
    <w:p>
      <w:pPr>
        <w:pStyle w:val="26"/>
        <w:widowControl/>
        <w:spacing w:line="560" w:lineRule="exact"/>
        <w:ind w:left="420"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（三）部分专业的复试说明</w:t>
      </w:r>
    </w:p>
    <w:p>
      <w:pPr>
        <w:widowControl/>
        <w:spacing w:line="560" w:lineRule="exact"/>
        <w:ind w:firstLine="360"/>
        <w:jc w:val="left"/>
        <w:rPr>
          <w:rFonts w:ascii="仿宋" w:hAnsi="仿宋" w:eastAsia="仿宋" w:cs="仿宋"/>
          <w:b/>
          <w:kern w:val="0"/>
          <w:sz w:val="28"/>
          <w:szCs w:val="28"/>
        </w:rPr>
      </w:pPr>
      <w:r>
        <w:rPr>
          <w:rFonts w:hint="eastAsia" w:ascii="仿宋" w:hAnsi="仿宋" w:eastAsia="仿宋" w:cs="仿宋"/>
          <w:b/>
          <w:kern w:val="0"/>
          <w:sz w:val="28"/>
          <w:szCs w:val="28"/>
        </w:rPr>
        <w:t>1、土木工程（081400）学术型硕士各方向的复试分配</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土木工程（081400）复试分为5组进行，分别为桥梁工程、隧道与地下工程、岩土工程、建筑结构工程和土木工程防灾减灾复试组。各方向招生计划、拟复试人数、目前统计网报考生数情况见表2。</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具有复试资格的土木工程专业考生，意愿调整报考方向，需发送申请到此邮箱：</w:t>
      </w:r>
      <w:r>
        <w:rPr>
          <w:rFonts w:hint="eastAsia" w:ascii="Arial" w:hAnsi="Arial" w:eastAsia="仿宋" w:cs="Arial"/>
          <w:bCs/>
          <w:kern w:val="0"/>
          <w:sz w:val="24"/>
        </w:rPr>
        <w:t>mwang@bjtu.edu.cn</w:t>
      </w:r>
      <w:r>
        <w:rPr>
          <w:rFonts w:hint="eastAsia" w:ascii="仿宋" w:hAnsi="仿宋" w:eastAsia="仿宋" w:cs="仿宋"/>
          <w:bCs/>
          <w:kern w:val="0"/>
          <w:sz w:val="28"/>
          <w:szCs w:val="28"/>
        </w:rPr>
        <w:t>。邮件标题格式：“调整到081400**方向-姓名-原方向** -初试分数”，</w:t>
      </w:r>
      <w:r>
        <w:rPr>
          <w:rFonts w:hint="eastAsia" w:ascii="仿宋" w:hAnsi="仿宋" w:eastAsia="仿宋" w:cs="仿宋"/>
          <w:b/>
          <w:bCs w:val="0"/>
          <w:kern w:val="0"/>
          <w:sz w:val="28"/>
          <w:szCs w:val="28"/>
        </w:rPr>
        <w:t>未按此格式发送不予接收。</w:t>
      </w:r>
    </w:p>
    <w:p>
      <w:pPr>
        <w:widowControl/>
        <w:spacing w:line="560" w:lineRule="exact"/>
        <w:ind w:firstLine="539"/>
        <w:jc w:val="left"/>
        <w:rPr>
          <w:rFonts w:hint="eastAsia" w:ascii="仿宋" w:hAnsi="仿宋" w:eastAsia="仿宋" w:cs="仿宋"/>
          <w:bCs/>
          <w:kern w:val="0"/>
          <w:sz w:val="28"/>
          <w:szCs w:val="28"/>
        </w:rPr>
      </w:pPr>
      <w:r>
        <w:rPr>
          <w:rFonts w:hint="eastAsia" w:ascii="仿宋" w:hAnsi="仿宋" w:eastAsia="仿宋" w:cs="仿宋"/>
          <w:bCs/>
          <w:kern w:val="0"/>
          <w:sz w:val="28"/>
          <w:szCs w:val="28"/>
        </w:rPr>
        <w:t>学院将在学院官网“招生工作-研究生招生-硕士招生通知模块”公示方向调整情况，请考生随时关注（</w:t>
      </w:r>
      <w:r>
        <w:rPr>
          <w:rFonts w:ascii="Arial" w:hAnsi="Arial" w:eastAsia="仿宋" w:cs="Arial"/>
          <w:bCs/>
          <w:kern w:val="0"/>
          <w:sz w:val="24"/>
        </w:rPr>
        <w:t>https://civil.bjtu.edu.cn/</w:t>
      </w:r>
      <w:r>
        <w:rPr>
          <w:rFonts w:hint="eastAsia" w:ascii="仿宋" w:hAnsi="仿宋" w:eastAsia="仿宋" w:cs="仿宋"/>
          <w:bCs/>
          <w:kern w:val="0"/>
          <w:sz w:val="28"/>
          <w:szCs w:val="28"/>
        </w:rPr>
        <w:t>）。</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申请截止时间为3月25日1</w:t>
      </w: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:00。</w:t>
      </w:r>
      <w:r>
        <w:rPr>
          <w:rFonts w:hint="eastAsia" w:ascii="仿宋" w:hAnsi="仿宋" w:eastAsia="仿宋" w:cs="仿宋"/>
          <w:bCs/>
          <w:kern w:val="0"/>
          <w:sz w:val="28"/>
          <w:szCs w:val="28"/>
          <w:lang w:val="en-US" w:eastAsia="zh-CN"/>
        </w:rPr>
        <w:t>学院将在24日</w:t>
      </w:r>
      <w:r>
        <w:rPr>
          <w:rFonts w:hint="eastAsia" w:ascii="仿宋" w:hAnsi="仿宋" w:eastAsia="仿宋" w:cs="仿宋"/>
          <w:bCs/>
          <w:kern w:val="0"/>
          <w:sz w:val="28"/>
          <w:szCs w:val="28"/>
        </w:rPr>
        <w:t>1</w:t>
      </w: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:00；</w:t>
      </w:r>
      <w:r>
        <w:rPr>
          <w:rFonts w:hint="eastAsia" w:ascii="仿宋" w:hAnsi="仿宋" w:eastAsia="仿宋" w:cs="仿宋"/>
          <w:bCs/>
          <w:kern w:val="0"/>
          <w:sz w:val="28"/>
          <w:szCs w:val="28"/>
          <w:lang w:val="en-US" w:eastAsia="zh-CN"/>
        </w:rPr>
        <w:t>18:00；</w:t>
      </w:r>
      <w:r>
        <w:rPr>
          <w:rFonts w:hint="eastAsia" w:ascii="仿宋" w:hAnsi="仿宋" w:eastAsia="仿宋" w:cs="仿宋"/>
          <w:bCs/>
          <w:kern w:val="0"/>
          <w:sz w:val="28"/>
          <w:szCs w:val="28"/>
        </w:rPr>
        <w:t>25日9：00</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rPr>
        <w:t>1</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:00</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15:00</w:t>
      </w:r>
      <w:r>
        <w:rPr>
          <w:rFonts w:hint="eastAsia" w:ascii="仿宋" w:hAnsi="仿宋" w:eastAsia="仿宋" w:cs="仿宋"/>
          <w:bCs/>
          <w:kern w:val="0"/>
          <w:sz w:val="28"/>
          <w:szCs w:val="28"/>
        </w:rPr>
        <w:t>公布调整情况，期间根据申请实际情况追加公布次数。敬请考生们随时关注。）</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学院将各方向最终名单公示后，考生须按照所公示方向参加复试，每位考生只能选择一个复试组。</w:t>
      </w:r>
    </w:p>
    <w:p>
      <w:pPr>
        <w:widowControl/>
        <w:spacing w:line="560" w:lineRule="exact"/>
        <w:ind w:firstLine="539"/>
        <w:jc w:val="center"/>
        <w:rPr>
          <w:rFonts w:ascii="仿宋" w:hAnsi="仿宋" w:eastAsia="仿宋" w:cs="仿宋"/>
          <w:bCs/>
          <w:kern w:val="0"/>
          <w:sz w:val="24"/>
        </w:rPr>
      </w:pPr>
      <w:r>
        <w:rPr>
          <w:rFonts w:hint="eastAsia" w:ascii="仿宋" w:hAnsi="仿宋" w:eastAsia="仿宋" w:cs="仿宋"/>
          <w:bCs/>
          <w:color w:val="000000"/>
          <w:kern w:val="0"/>
          <w:sz w:val="24"/>
        </w:rPr>
        <w:t>表</w:t>
      </w:r>
      <w:r>
        <w:rPr>
          <w:rFonts w:ascii="仿宋" w:hAnsi="仿宋" w:eastAsia="仿宋" w:cs="仿宋"/>
          <w:bCs/>
          <w:color w:val="000000"/>
          <w:kern w:val="0"/>
          <w:sz w:val="24"/>
        </w:rPr>
        <w:t>2</w:t>
      </w:r>
      <w:r>
        <w:rPr>
          <w:rFonts w:ascii="Calibri" w:hAnsi="Calibri" w:eastAsia="仿宋" w:cs="Calibri"/>
          <w:bCs/>
          <w:color w:val="000000"/>
          <w:kern w:val="0"/>
          <w:sz w:val="24"/>
        </w:rPr>
        <w:t>  </w:t>
      </w:r>
      <w:r>
        <w:rPr>
          <w:rFonts w:hint="eastAsia" w:ascii="仿宋" w:hAnsi="仿宋" w:eastAsia="仿宋" w:cs="仿宋"/>
          <w:bCs/>
          <w:kern w:val="0"/>
          <w:sz w:val="24"/>
        </w:rPr>
        <w:t>2024年土木工程（081400）学术型硕士各</w:t>
      </w:r>
      <w:r>
        <w:rPr>
          <w:rFonts w:hint="eastAsia" w:ascii="仿宋" w:hAnsi="仿宋" w:eastAsia="仿宋" w:cs="仿宋"/>
          <w:bCs/>
          <w:kern w:val="0"/>
          <w:sz w:val="24"/>
          <w:lang w:val="en-US" w:eastAsia="zh-CN"/>
        </w:rPr>
        <w:t>方向</w:t>
      </w:r>
      <w:r>
        <w:rPr>
          <w:rFonts w:hint="eastAsia" w:ascii="仿宋" w:hAnsi="仿宋" w:eastAsia="仿宋" w:cs="仿宋"/>
          <w:bCs/>
          <w:kern w:val="0"/>
          <w:sz w:val="24"/>
        </w:rPr>
        <w:t>拟录取人数及复试分数线</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52"/>
        <w:gridCol w:w="1275"/>
        <w:gridCol w:w="1134"/>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hint="eastAsia" w:ascii="仿宋" w:hAnsi="仿宋" w:eastAsia="仿宋" w:cs="仿宋"/>
                <w:bCs/>
                <w:kern w:val="0"/>
                <w:sz w:val="24"/>
              </w:rPr>
            </w:pPr>
            <w:r>
              <w:rPr>
                <w:rFonts w:hint="eastAsia" w:ascii="仿宋" w:hAnsi="仿宋" w:eastAsia="仿宋" w:cs="仿宋"/>
                <w:bCs/>
                <w:kern w:val="0"/>
                <w:sz w:val="24"/>
              </w:rPr>
              <w:t>复试组</w:t>
            </w:r>
          </w:p>
        </w:tc>
        <w:tc>
          <w:tcPr>
            <w:tcW w:w="2552" w:type="dxa"/>
          </w:tcPr>
          <w:p>
            <w:pPr>
              <w:widowControl/>
              <w:spacing w:line="400" w:lineRule="exact"/>
              <w:jc w:val="center"/>
              <w:rPr>
                <w:rFonts w:hint="eastAsia" w:ascii="仿宋" w:hAnsi="仿宋" w:eastAsia="仿宋" w:cs="仿宋"/>
                <w:bCs/>
                <w:kern w:val="0"/>
                <w:sz w:val="24"/>
                <w:lang w:val="en-US" w:eastAsia="zh-CN"/>
              </w:rPr>
            </w:pPr>
            <w:r>
              <w:rPr>
                <w:rFonts w:hint="eastAsia" w:ascii="仿宋" w:hAnsi="仿宋" w:eastAsia="仿宋"/>
                <w:sz w:val="24"/>
              </w:rPr>
              <w:t>专业</w:t>
            </w:r>
            <w:r>
              <w:rPr>
                <w:rFonts w:hint="eastAsia" w:ascii="仿宋" w:hAnsi="仿宋" w:eastAsia="仿宋"/>
                <w:sz w:val="24"/>
                <w:lang w:val="en-US" w:eastAsia="zh-CN"/>
              </w:rPr>
              <w:t>方向</w:t>
            </w:r>
          </w:p>
        </w:tc>
        <w:tc>
          <w:tcPr>
            <w:tcW w:w="1275" w:type="dxa"/>
          </w:tcPr>
          <w:p>
            <w:pPr>
              <w:widowControl/>
              <w:spacing w:line="400" w:lineRule="exact"/>
              <w:jc w:val="center"/>
              <w:rPr>
                <w:rFonts w:hint="eastAsia" w:ascii="仿宋" w:hAnsi="仿宋" w:eastAsia="仿宋" w:cs="仿宋"/>
                <w:bCs/>
                <w:kern w:val="0"/>
                <w:sz w:val="24"/>
              </w:rPr>
            </w:pPr>
            <w:r>
              <w:rPr>
                <w:rFonts w:hint="eastAsia" w:ascii="仿宋" w:hAnsi="仿宋" w:eastAsia="仿宋"/>
                <w:sz w:val="24"/>
              </w:rPr>
              <w:t>拟录人数</w:t>
            </w:r>
          </w:p>
        </w:tc>
        <w:tc>
          <w:tcPr>
            <w:tcW w:w="1134" w:type="dxa"/>
          </w:tcPr>
          <w:p>
            <w:pPr>
              <w:widowControl/>
              <w:spacing w:line="400" w:lineRule="exact"/>
              <w:jc w:val="center"/>
              <w:rPr>
                <w:rFonts w:hint="eastAsia" w:ascii="仿宋" w:hAnsi="仿宋" w:eastAsia="仿宋" w:cs="仿宋"/>
                <w:bCs/>
                <w:kern w:val="0"/>
                <w:sz w:val="24"/>
              </w:rPr>
            </w:pPr>
            <w:r>
              <w:rPr>
                <w:rFonts w:hint="eastAsia" w:ascii="仿宋" w:hAnsi="仿宋" w:eastAsia="仿宋"/>
                <w:sz w:val="24"/>
              </w:rPr>
              <w:t>复试线</w:t>
            </w:r>
          </w:p>
        </w:tc>
        <w:tc>
          <w:tcPr>
            <w:tcW w:w="2262" w:type="dxa"/>
          </w:tcPr>
          <w:p>
            <w:pPr>
              <w:widowControl/>
              <w:spacing w:line="400" w:lineRule="exact"/>
              <w:jc w:val="center"/>
              <w:rPr>
                <w:rFonts w:hint="eastAsia" w:ascii="仿宋" w:hAnsi="仿宋" w:eastAsia="仿宋" w:cs="仿宋"/>
                <w:bCs/>
                <w:kern w:val="0"/>
                <w:sz w:val="24"/>
              </w:rPr>
            </w:pPr>
            <w:r>
              <w:rPr>
                <w:rFonts w:hint="eastAsia" w:ascii="仿宋" w:hAnsi="仿宋" w:eastAsia="仿宋" w:cs="仿宋"/>
                <w:bCs/>
                <w:kern w:val="0"/>
                <w:sz w:val="24"/>
              </w:rPr>
              <w:t>复试线上报名人数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桥梁工程组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桥梁工程</w:t>
            </w:r>
          </w:p>
        </w:tc>
        <w:tc>
          <w:tcPr>
            <w:tcW w:w="1275"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2</w:t>
            </w:r>
          </w:p>
        </w:tc>
        <w:tc>
          <w:tcPr>
            <w:tcW w:w="1134"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6</w:t>
            </w:r>
          </w:p>
        </w:tc>
        <w:tc>
          <w:tcPr>
            <w:tcW w:w="2262" w:type="dxa"/>
          </w:tcPr>
          <w:p>
            <w:pPr>
              <w:widowControl/>
              <w:spacing w:line="400" w:lineRule="exact"/>
              <w:jc w:val="center"/>
              <w:rPr>
                <w:rFonts w:eastAsia="仿宋"/>
                <w:bCs/>
                <w:kern w:val="0"/>
                <w:sz w:val="24"/>
              </w:rPr>
            </w:pPr>
            <w:r>
              <w:rPr>
                <w:rFonts w:hint="eastAsia" w:eastAsia="仿宋"/>
                <w:bCs/>
                <w:kern w:val="0"/>
                <w:sz w:val="24"/>
              </w:rPr>
              <w:t>2</w:t>
            </w:r>
            <w:r>
              <w:rPr>
                <w:rFonts w:eastAsia="仿宋"/>
                <w:bCs/>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隧道与地下工程组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隧道与地下工程</w:t>
            </w:r>
          </w:p>
        </w:tc>
        <w:tc>
          <w:tcPr>
            <w:tcW w:w="1275" w:type="dxa"/>
          </w:tcPr>
          <w:p>
            <w:pPr>
              <w:widowControl/>
              <w:spacing w:line="400" w:lineRule="exact"/>
              <w:jc w:val="center"/>
              <w:rPr>
                <w:rFonts w:eastAsia="仿宋"/>
                <w:bCs/>
                <w:kern w:val="0"/>
                <w:sz w:val="24"/>
              </w:rPr>
            </w:pPr>
            <w:r>
              <w:rPr>
                <w:rFonts w:hint="eastAsia" w:eastAsia="仿宋"/>
                <w:bCs/>
                <w:kern w:val="0"/>
                <w:sz w:val="24"/>
              </w:rPr>
              <w:t>9</w:t>
            </w:r>
          </w:p>
        </w:tc>
        <w:tc>
          <w:tcPr>
            <w:tcW w:w="1134"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2</w:t>
            </w:r>
          </w:p>
        </w:tc>
        <w:tc>
          <w:tcPr>
            <w:tcW w:w="2262" w:type="dxa"/>
          </w:tcPr>
          <w:p>
            <w:pPr>
              <w:widowControl/>
              <w:spacing w:line="400" w:lineRule="exact"/>
              <w:jc w:val="center"/>
              <w:rPr>
                <w:rFonts w:eastAsia="仿宋"/>
                <w:bCs/>
                <w:kern w:val="0"/>
                <w:sz w:val="24"/>
              </w:rPr>
            </w:pPr>
            <w:r>
              <w:rPr>
                <w:rFonts w:hint="eastAsia" w:eastAsia="仿宋"/>
                <w:bCs/>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岩土工程组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岩土工程</w:t>
            </w:r>
          </w:p>
        </w:tc>
        <w:tc>
          <w:tcPr>
            <w:tcW w:w="1275" w:type="dxa"/>
          </w:tcPr>
          <w:p>
            <w:pPr>
              <w:widowControl/>
              <w:spacing w:line="400" w:lineRule="exact"/>
              <w:jc w:val="center"/>
              <w:rPr>
                <w:rFonts w:eastAsia="仿宋"/>
                <w:bCs/>
                <w:kern w:val="0"/>
                <w:sz w:val="24"/>
              </w:rPr>
            </w:pPr>
            <w:r>
              <w:rPr>
                <w:rFonts w:hint="eastAsia" w:eastAsia="仿宋"/>
                <w:bCs/>
                <w:kern w:val="0"/>
                <w:sz w:val="24"/>
              </w:rPr>
              <w:t>7</w:t>
            </w:r>
          </w:p>
        </w:tc>
        <w:tc>
          <w:tcPr>
            <w:tcW w:w="1134" w:type="dxa"/>
          </w:tcPr>
          <w:p>
            <w:pPr>
              <w:widowControl/>
              <w:spacing w:line="400" w:lineRule="exact"/>
              <w:jc w:val="center"/>
              <w:rPr>
                <w:rFonts w:eastAsia="仿宋"/>
                <w:bCs/>
                <w:kern w:val="0"/>
                <w:sz w:val="24"/>
              </w:rPr>
            </w:pPr>
            <w:r>
              <w:rPr>
                <w:rFonts w:hint="eastAsia" w:eastAsia="仿宋"/>
                <w:bCs/>
                <w:kern w:val="0"/>
                <w:sz w:val="24"/>
              </w:rPr>
              <w:t>9</w:t>
            </w:r>
          </w:p>
        </w:tc>
        <w:tc>
          <w:tcPr>
            <w:tcW w:w="2262" w:type="dxa"/>
          </w:tcPr>
          <w:p>
            <w:pPr>
              <w:widowControl/>
              <w:spacing w:line="400" w:lineRule="exact"/>
              <w:jc w:val="center"/>
              <w:rPr>
                <w:rFonts w:eastAsia="仿宋"/>
                <w:bCs/>
                <w:kern w:val="0"/>
                <w:sz w:val="24"/>
              </w:rPr>
            </w:pPr>
            <w:r>
              <w:rPr>
                <w:rFonts w:hint="eastAsia" w:eastAsia="仿宋"/>
                <w:bCs/>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建筑结构工程组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建筑结构工程</w:t>
            </w:r>
          </w:p>
        </w:tc>
        <w:tc>
          <w:tcPr>
            <w:tcW w:w="1275"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3</w:t>
            </w:r>
          </w:p>
        </w:tc>
        <w:tc>
          <w:tcPr>
            <w:tcW w:w="1134"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7</w:t>
            </w:r>
          </w:p>
        </w:tc>
        <w:tc>
          <w:tcPr>
            <w:tcW w:w="2262" w:type="dxa"/>
          </w:tcPr>
          <w:p>
            <w:pPr>
              <w:widowControl/>
              <w:spacing w:line="400" w:lineRule="exact"/>
              <w:jc w:val="center"/>
              <w:rPr>
                <w:rFonts w:eastAsia="仿宋"/>
                <w:bCs/>
                <w:kern w:val="0"/>
                <w:sz w:val="24"/>
              </w:rPr>
            </w:pPr>
            <w:r>
              <w:rPr>
                <w:rFonts w:hint="eastAsia" w:eastAsia="仿宋"/>
                <w:bCs/>
                <w:kern w:val="0"/>
                <w:sz w:val="24"/>
              </w:rPr>
              <w:t>3</w:t>
            </w:r>
            <w:r>
              <w:rPr>
                <w:rFonts w:eastAsia="仿宋"/>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土木工程防灾减灾组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土木工程防灾减灾工程</w:t>
            </w:r>
          </w:p>
        </w:tc>
        <w:tc>
          <w:tcPr>
            <w:tcW w:w="1275"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2</w:t>
            </w:r>
          </w:p>
        </w:tc>
        <w:tc>
          <w:tcPr>
            <w:tcW w:w="1134"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6</w:t>
            </w:r>
          </w:p>
        </w:tc>
        <w:tc>
          <w:tcPr>
            <w:tcW w:w="2262" w:type="dxa"/>
          </w:tcPr>
          <w:p>
            <w:pPr>
              <w:widowControl/>
              <w:spacing w:line="400" w:lineRule="exact"/>
              <w:jc w:val="center"/>
              <w:rPr>
                <w:rFonts w:eastAsia="仿宋"/>
                <w:bCs/>
                <w:kern w:val="0"/>
                <w:sz w:val="24"/>
              </w:rPr>
            </w:pPr>
            <w:r>
              <w:rPr>
                <w:rFonts w:hint="eastAsia" w:eastAsia="仿宋"/>
                <w:bCs/>
                <w:kern w:val="0"/>
                <w:sz w:val="24"/>
              </w:rPr>
              <w:t>4</w:t>
            </w:r>
          </w:p>
        </w:tc>
      </w:tr>
    </w:tbl>
    <w:p>
      <w:pPr>
        <w:widowControl/>
        <w:spacing w:line="560" w:lineRule="exact"/>
        <w:ind w:firstLine="360"/>
        <w:jc w:val="left"/>
        <w:rPr>
          <w:rFonts w:ascii="仿宋" w:hAnsi="仿宋" w:eastAsia="仿宋" w:cs="仿宋"/>
          <w:b/>
          <w:kern w:val="0"/>
          <w:sz w:val="28"/>
          <w:szCs w:val="28"/>
        </w:rPr>
      </w:pPr>
      <w:r>
        <w:rPr>
          <w:rFonts w:hint="eastAsia" w:ascii="仿宋" w:hAnsi="仿宋" w:eastAsia="仿宋" w:cs="仿宋"/>
          <w:b/>
          <w:kern w:val="0"/>
          <w:sz w:val="28"/>
          <w:szCs w:val="28"/>
        </w:rPr>
        <w:t>2、土木工程专业（085901）各方向的复试名额分配</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土木工程专业学位（085901）复试分为5组进行，分别为桥梁工程、隧道与地下工程、岩土工程、建筑结构工程和土木工程防灾减灾复试组。各方向招生计划、拟复试人数、目前统计网报考生数情况见表3。</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具有复试资格的土木工程（专业学位）考生，意愿调整报考方向，需发送申请到此邮箱：</w:t>
      </w:r>
      <w:r>
        <w:rPr>
          <w:rFonts w:hint="eastAsia" w:ascii="Arial" w:hAnsi="Arial" w:eastAsia="仿宋" w:cs="Arial"/>
          <w:bCs/>
          <w:kern w:val="0"/>
          <w:sz w:val="24"/>
        </w:rPr>
        <w:t>mwang@bjtu.edu.cn</w:t>
      </w:r>
      <w:r>
        <w:rPr>
          <w:rFonts w:hint="eastAsia" w:ascii="仿宋" w:hAnsi="仿宋" w:eastAsia="仿宋" w:cs="仿宋"/>
          <w:bCs/>
          <w:kern w:val="0"/>
          <w:sz w:val="28"/>
          <w:szCs w:val="28"/>
        </w:rPr>
        <w:t>。邮件标题格式：调整到085901**方向-姓名-原方向** -初试分数，</w:t>
      </w:r>
      <w:r>
        <w:rPr>
          <w:rFonts w:hint="eastAsia" w:ascii="仿宋" w:hAnsi="仿宋" w:eastAsia="仿宋" w:cs="仿宋"/>
          <w:b/>
          <w:bCs w:val="0"/>
          <w:kern w:val="0"/>
          <w:sz w:val="28"/>
          <w:szCs w:val="28"/>
        </w:rPr>
        <w:t>未按此格式发送不予接收。</w:t>
      </w:r>
    </w:p>
    <w:p>
      <w:pPr>
        <w:widowControl/>
        <w:spacing w:line="560" w:lineRule="exact"/>
        <w:ind w:firstLine="539"/>
        <w:jc w:val="left"/>
        <w:rPr>
          <w:rFonts w:ascii="仿宋" w:hAnsi="仿宋" w:eastAsia="仿宋" w:cs="仿宋"/>
          <w:bCs/>
          <w:kern w:val="0"/>
          <w:sz w:val="28"/>
          <w:szCs w:val="28"/>
        </w:rPr>
      </w:pPr>
      <w:r>
        <w:rPr>
          <w:rFonts w:hint="eastAsia" w:ascii="仿宋" w:hAnsi="仿宋" w:eastAsia="仿宋" w:cs="仿宋"/>
          <w:bCs/>
          <w:kern w:val="0"/>
          <w:sz w:val="28"/>
          <w:szCs w:val="28"/>
        </w:rPr>
        <w:t>申请截止时间为3月25日1</w:t>
      </w: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:00。</w:t>
      </w:r>
      <w:r>
        <w:rPr>
          <w:rFonts w:hint="eastAsia" w:ascii="仿宋" w:hAnsi="仿宋" w:eastAsia="仿宋" w:cs="仿宋"/>
          <w:bCs/>
          <w:kern w:val="0"/>
          <w:sz w:val="28"/>
          <w:szCs w:val="28"/>
          <w:lang w:val="en-US" w:eastAsia="zh-CN"/>
        </w:rPr>
        <w:t>学院将在24日</w:t>
      </w:r>
      <w:r>
        <w:rPr>
          <w:rFonts w:hint="eastAsia" w:ascii="仿宋" w:hAnsi="仿宋" w:eastAsia="仿宋" w:cs="仿宋"/>
          <w:bCs/>
          <w:kern w:val="0"/>
          <w:sz w:val="28"/>
          <w:szCs w:val="28"/>
        </w:rPr>
        <w:t>1</w:t>
      </w: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:00；</w:t>
      </w:r>
      <w:r>
        <w:rPr>
          <w:rFonts w:hint="eastAsia" w:ascii="仿宋" w:hAnsi="仿宋" w:eastAsia="仿宋" w:cs="仿宋"/>
          <w:bCs/>
          <w:kern w:val="0"/>
          <w:sz w:val="28"/>
          <w:szCs w:val="28"/>
          <w:lang w:val="en-US" w:eastAsia="zh-CN"/>
        </w:rPr>
        <w:t>18:00；</w:t>
      </w:r>
      <w:r>
        <w:rPr>
          <w:rFonts w:hint="eastAsia" w:ascii="仿宋" w:hAnsi="仿宋" w:eastAsia="仿宋" w:cs="仿宋"/>
          <w:bCs/>
          <w:kern w:val="0"/>
          <w:sz w:val="28"/>
          <w:szCs w:val="28"/>
        </w:rPr>
        <w:t>25日9：00</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rPr>
        <w:t>1</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:00</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15:00</w:t>
      </w:r>
      <w:r>
        <w:rPr>
          <w:rFonts w:hint="eastAsia" w:ascii="仿宋" w:hAnsi="仿宋" w:eastAsia="仿宋" w:cs="仿宋"/>
          <w:bCs/>
          <w:kern w:val="0"/>
          <w:sz w:val="28"/>
          <w:szCs w:val="28"/>
        </w:rPr>
        <w:t>公布调整情况，期间根据申请实际情况追加公布次数。敬请考生们随时关注。学院将各方向最终名单公示后，考生须按照所公示方向参加复试，每位考生只能选择一个复试组。</w:t>
      </w:r>
    </w:p>
    <w:p>
      <w:pPr>
        <w:widowControl/>
        <w:spacing w:line="560" w:lineRule="exact"/>
        <w:ind w:firstLine="0"/>
        <w:jc w:val="center"/>
        <w:rPr>
          <w:rFonts w:ascii="仿宋" w:hAnsi="仿宋" w:eastAsia="仿宋" w:cs="仿宋"/>
          <w:bCs/>
          <w:kern w:val="0"/>
          <w:sz w:val="24"/>
        </w:rPr>
      </w:pPr>
      <w:r>
        <w:rPr>
          <w:rFonts w:hint="eastAsia" w:ascii="仿宋" w:hAnsi="仿宋" w:eastAsia="仿宋" w:cs="仿宋"/>
          <w:bCs/>
          <w:color w:val="000000"/>
          <w:kern w:val="0"/>
          <w:sz w:val="24"/>
        </w:rPr>
        <w:t>表</w:t>
      </w:r>
      <w:r>
        <w:rPr>
          <w:rFonts w:ascii="仿宋" w:hAnsi="仿宋" w:eastAsia="仿宋" w:cs="仿宋"/>
          <w:bCs/>
          <w:color w:val="000000"/>
          <w:kern w:val="0"/>
          <w:sz w:val="24"/>
        </w:rPr>
        <w:t>3</w:t>
      </w:r>
      <w:r>
        <w:rPr>
          <w:rFonts w:ascii="Calibri" w:hAnsi="Calibri" w:eastAsia="仿宋" w:cs="Calibri"/>
          <w:bCs/>
          <w:color w:val="000000"/>
          <w:kern w:val="0"/>
          <w:sz w:val="24"/>
        </w:rPr>
        <w:t>  </w:t>
      </w:r>
      <w:r>
        <w:rPr>
          <w:rFonts w:hint="eastAsia" w:ascii="仿宋" w:hAnsi="仿宋" w:eastAsia="仿宋" w:cs="仿宋"/>
          <w:bCs/>
          <w:kern w:val="0"/>
          <w:sz w:val="24"/>
        </w:rPr>
        <w:t>2024年土木工程（0</w:t>
      </w:r>
      <w:r>
        <w:rPr>
          <w:rFonts w:ascii="仿宋" w:hAnsi="仿宋" w:eastAsia="仿宋" w:cs="仿宋"/>
          <w:bCs/>
          <w:kern w:val="0"/>
          <w:sz w:val="24"/>
        </w:rPr>
        <w:t>85901</w:t>
      </w:r>
      <w:r>
        <w:rPr>
          <w:rFonts w:hint="eastAsia" w:ascii="仿宋" w:hAnsi="仿宋" w:eastAsia="仿宋" w:cs="仿宋"/>
          <w:bCs/>
          <w:kern w:val="0"/>
          <w:sz w:val="24"/>
        </w:rPr>
        <w:t>）专业学位硕士各</w:t>
      </w:r>
      <w:r>
        <w:rPr>
          <w:rFonts w:hint="eastAsia" w:ascii="仿宋" w:hAnsi="仿宋" w:eastAsia="仿宋" w:cs="仿宋"/>
          <w:bCs/>
          <w:kern w:val="0"/>
          <w:sz w:val="24"/>
          <w:lang w:val="en-US" w:eastAsia="zh-CN"/>
        </w:rPr>
        <w:t>方向</w:t>
      </w:r>
      <w:r>
        <w:rPr>
          <w:rFonts w:hint="eastAsia" w:ascii="仿宋" w:hAnsi="仿宋" w:eastAsia="仿宋" w:cs="仿宋"/>
          <w:bCs/>
          <w:kern w:val="0"/>
          <w:sz w:val="24"/>
        </w:rPr>
        <w:t>拟录取人数及复试分数线</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52"/>
        <w:gridCol w:w="1275"/>
        <w:gridCol w:w="1134"/>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hint="eastAsia" w:ascii="仿宋" w:hAnsi="仿宋" w:eastAsia="仿宋" w:cs="仿宋"/>
                <w:bCs/>
                <w:kern w:val="0"/>
                <w:sz w:val="24"/>
              </w:rPr>
            </w:pPr>
            <w:r>
              <w:rPr>
                <w:rFonts w:hint="eastAsia" w:ascii="仿宋" w:hAnsi="仿宋" w:eastAsia="仿宋" w:cs="仿宋"/>
                <w:bCs/>
                <w:kern w:val="0"/>
                <w:sz w:val="24"/>
              </w:rPr>
              <w:t>复试组</w:t>
            </w:r>
          </w:p>
        </w:tc>
        <w:tc>
          <w:tcPr>
            <w:tcW w:w="2552" w:type="dxa"/>
          </w:tcPr>
          <w:p>
            <w:pPr>
              <w:widowControl/>
              <w:tabs>
                <w:tab w:val="center" w:pos="1228"/>
                <w:tab w:val="right" w:pos="2336"/>
              </w:tabs>
              <w:spacing w:line="400" w:lineRule="exact"/>
              <w:jc w:val="left"/>
              <w:rPr>
                <w:rFonts w:hint="default" w:ascii="仿宋" w:hAnsi="仿宋" w:eastAsia="仿宋" w:cs="仿宋"/>
                <w:bCs/>
                <w:kern w:val="0"/>
                <w:sz w:val="24"/>
                <w:lang w:val="en-US" w:eastAsia="zh-CN"/>
              </w:rPr>
            </w:pPr>
            <w:r>
              <w:rPr>
                <w:rFonts w:hint="eastAsia" w:ascii="仿宋" w:hAnsi="仿宋" w:eastAsia="仿宋"/>
                <w:sz w:val="24"/>
                <w:lang w:eastAsia="zh-CN"/>
              </w:rPr>
              <w:tab/>
            </w:r>
            <w:r>
              <w:rPr>
                <w:rFonts w:hint="eastAsia" w:ascii="仿宋" w:hAnsi="仿宋" w:eastAsia="仿宋"/>
                <w:sz w:val="24"/>
              </w:rPr>
              <w:t>专业</w:t>
            </w:r>
            <w:r>
              <w:rPr>
                <w:rFonts w:hint="eastAsia" w:ascii="仿宋" w:hAnsi="仿宋" w:eastAsia="仿宋"/>
                <w:sz w:val="24"/>
                <w:lang w:val="en-US" w:eastAsia="zh-CN"/>
              </w:rPr>
              <w:t>方向</w:t>
            </w:r>
          </w:p>
        </w:tc>
        <w:tc>
          <w:tcPr>
            <w:tcW w:w="1275" w:type="dxa"/>
          </w:tcPr>
          <w:p>
            <w:pPr>
              <w:widowControl/>
              <w:spacing w:line="400" w:lineRule="exact"/>
              <w:jc w:val="center"/>
              <w:rPr>
                <w:rFonts w:hint="eastAsia" w:ascii="仿宋" w:hAnsi="仿宋" w:eastAsia="仿宋" w:cs="仿宋"/>
                <w:bCs/>
                <w:kern w:val="0"/>
                <w:sz w:val="24"/>
              </w:rPr>
            </w:pPr>
            <w:r>
              <w:rPr>
                <w:rFonts w:hint="eastAsia" w:ascii="仿宋" w:hAnsi="仿宋" w:eastAsia="仿宋"/>
                <w:sz w:val="24"/>
              </w:rPr>
              <w:t>拟录人数</w:t>
            </w:r>
          </w:p>
        </w:tc>
        <w:tc>
          <w:tcPr>
            <w:tcW w:w="1134" w:type="dxa"/>
          </w:tcPr>
          <w:p>
            <w:pPr>
              <w:widowControl/>
              <w:spacing w:line="400" w:lineRule="exact"/>
              <w:jc w:val="center"/>
              <w:rPr>
                <w:rFonts w:hint="eastAsia" w:ascii="仿宋" w:hAnsi="仿宋" w:eastAsia="仿宋" w:cs="仿宋"/>
                <w:bCs/>
                <w:kern w:val="0"/>
                <w:sz w:val="24"/>
              </w:rPr>
            </w:pPr>
            <w:r>
              <w:rPr>
                <w:rFonts w:hint="eastAsia" w:ascii="仿宋" w:hAnsi="仿宋" w:eastAsia="仿宋"/>
                <w:sz w:val="24"/>
              </w:rPr>
              <w:t>复试线</w:t>
            </w:r>
          </w:p>
        </w:tc>
        <w:tc>
          <w:tcPr>
            <w:tcW w:w="2262" w:type="dxa"/>
          </w:tcPr>
          <w:p>
            <w:pPr>
              <w:widowControl/>
              <w:spacing w:line="400" w:lineRule="exact"/>
              <w:jc w:val="center"/>
              <w:rPr>
                <w:rFonts w:hint="eastAsia" w:ascii="仿宋" w:hAnsi="仿宋" w:eastAsia="仿宋" w:cs="仿宋"/>
                <w:bCs/>
                <w:kern w:val="0"/>
                <w:sz w:val="24"/>
              </w:rPr>
            </w:pPr>
            <w:r>
              <w:rPr>
                <w:rFonts w:hint="eastAsia" w:ascii="仿宋" w:hAnsi="仿宋" w:eastAsia="仿宋" w:cs="仿宋"/>
                <w:bCs/>
                <w:kern w:val="0"/>
                <w:sz w:val="24"/>
              </w:rPr>
              <w:t>复试线上报名人数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桥梁工程组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桥梁工程</w:t>
            </w:r>
          </w:p>
        </w:tc>
        <w:tc>
          <w:tcPr>
            <w:tcW w:w="1275" w:type="dxa"/>
          </w:tcPr>
          <w:p>
            <w:pPr>
              <w:widowControl/>
              <w:spacing w:line="400" w:lineRule="exact"/>
              <w:jc w:val="center"/>
              <w:rPr>
                <w:rFonts w:eastAsia="仿宋"/>
                <w:bCs/>
                <w:kern w:val="0"/>
                <w:sz w:val="24"/>
              </w:rPr>
            </w:pPr>
            <w:r>
              <w:rPr>
                <w:rFonts w:eastAsia="仿宋"/>
                <w:bCs/>
                <w:kern w:val="0"/>
                <w:sz w:val="24"/>
              </w:rPr>
              <w:t>24</w:t>
            </w:r>
          </w:p>
        </w:tc>
        <w:tc>
          <w:tcPr>
            <w:tcW w:w="1134" w:type="dxa"/>
          </w:tcPr>
          <w:p>
            <w:pPr>
              <w:widowControl/>
              <w:spacing w:line="400" w:lineRule="exact"/>
              <w:jc w:val="center"/>
              <w:rPr>
                <w:rFonts w:eastAsia="仿宋"/>
                <w:bCs/>
                <w:kern w:val="0"/>
                <w:sz w:val="24"/>
              </w:rPr>
            </w:pPr>
            <w:r>
              <w:rPr>
                <w:rFonts w:hint="eastAsia" w:eastAsia="仿宋"/>
                <w:bCs/>
                <w:kern w:val="0"/>
                <w:sz w:val="24"/>
              </w:rPr>
              <w:t>2</w:t>
            </w:r>
            <w:r>
              <w:rPr>
                <w:rFonts w:eastAsia="仿宋"/>
                <w:bCs/>
                <w:kern w:val="0"/>
                <w:sz w:val="24"/>
              </w:rPr>
              <w:t>9</w:t>
            </w:r>
          </w:p>
        </w:tc>
        <w:tc>
          <w:tcPr>
            <w:tcW w:w="2262" w:type="dxa"/>
          </w:tcPr>
          <w:p>
            <w:pPr>
              <w:widowControl/>
              <w:spacing w:line="400" w:lineRule="exact"/>
              <w:jc w:val="center"/>
              <w:rPr>
                <w:rFonts w:eastAsia="仿宋"/>
                <w:bCs/>
                <w:kern w:val="0"/>
                <w:sz w:val="24"/>
              </w:rPr>
            </w:pPr>
            <w:r>
              <w:rPr>
                <w:rFonts w:hint="eastAsia" w:eastAsia="仿宋"/>
                <w:bCs/>
                <w:kern w:val="0"/>
                <w:sz w:val="24"/>
              </w:rPr>
              <w:t>4</w:t>
            </w:r>
            <w:r>
              <w:rPr>
                <w:rFonts w:eastAsia="仿宋"/>
                <w:bCs/>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隧道与地下工程组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隧道与地下工程</w:t>
            </w:r>
          </w:p>
        </w:tc>
        <w:tc>
          <w:tcPr>
            <w:tcW w:w="1275" w:type="dxa"/>
          </w:tcPr>
          <w:p>
            <w:pPr>
              <w:widowControl/>
              <w:spacing w:line="400" w:lineRule="exact"/>
              <w:jc w:val="center"/>
              <w:rPr>
                <w:rFonts w:eastAsia="仿宋"/>
                <w:bCs/>
                <w:kern w:val="0"/>
                <w:sz w:val="24"/>
              </w:rPr>
            </w:pPr>
            <w:r>
              <w:rPr>
                <w:rFonts w:eastAsia="仿宋"/>
                <w:bCs/>
                <w:kern w:val="0"/>
                <w:sz w:val="24"/>
              </w:rPr>
              <w:t>18</w:t>
            </w:r>
          </w:p>
        </w:tc>
        <w:tc>
          <w:tcPr>
            <w:tcW w:w="1134" w:type="dxa"/>
          </w:tcPr>
          <w:p>
            <w:pPr>
              <w:widowControl/>
              <w:spacing w:line="400" w:lineRule="exact"/>
              <w:jc w:val="center"/>
              <w:rPr>
                <w:rFonts w:eastAsia="仿宋"/>
                <w:bCs/>
                <w:kern w:val="0"/>
                <w:sz w:val="24"/>
              </w:rPr>
            </w:pPr>
            <w:r>
              <w:rPr>
                <w:rFonts w:hint="eastAsia" w:eastAsia="仿宋"/>
                <w:bCs/>
                <w:kern w:val="0"/>
                <w:sz w:val="24"/>
              </w:rPr>
              <w:t>2</w:t>
            </w:r>
            <w:r>
              <w:rPr>
                <w:rFonts w:eastAsia="仿宋"/>
                <w:bCs/>
                <w:kern w:val="0"/>
                <w:sz w:val="24"/>
              </w:rPr>
              <w:t>2</w:t>
            </w:r>
          </w:p>
        </w:tc>
        <w:tc>
          <w:tcPr>
            <w:tcW w:w="2262"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岩土工程组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岩土工程</w:t>
            </w:r>
          </w:p>
        </w:tc>
        <w:tc>
          <w:tcPr>
            <w:tcW w:w="1275" w:type="dxa"/>
          </w:tcPr>
          <w:p>
            <w:pPr>
              <w:widowControl/>
              <w:spacing w:line="400" w:lineRule="exact"/>
              <w:jc w:val="center"/>
              <w:rPr>
                <w:rFonts w:eastAsia="仿宋"/>
                <w:bCs/>
                <w:kern w:val="0"/>
                <w:sz w:val="24"/>
              </w:rPr>
            </w:pPr>
            <w:r>
              <w:rPr>
                <w:rFonts w:eastAsia="仿宋"/>
                <w:bCs/>
                <w:kern w:val="0"/>
                <w:sz w:val="24"/>
              </w:rPr>
              <w:t>15</w:t>
            </w:r>
          </w:p>
        </w:tc>
        <w:tc>
          <w:tcPr>
            <w:tcW w:w="1134"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8</w:t>
            </w:r>
          </w:p>
        </w:tc>
        <w:tc>
          <w:tcPr>
            <w:tcW w:w="2262"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建筑结构工程组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建筑结构工程</w:t>
            </w:r>
          </w:p>
        </w:tc>
        <w:tc>
          <w:tcPr>
            <w:tcW w:w="1275" w:type="dxa"/>
          </w:tcPr>
          <w:p>
            <w:pPr>
              <w:widowControl/>
              <w:spacing w:line="400" w:lineRule="exact"/>
              <w:jc w:val="center"/>
              <w:rPr>
                <w:rFonts w:eastAsia="仿宋"/>
                <w:bCs/>
                <w:kern w:val="0"/>
                <w:sz w:val="24"/>
              </w:rPr>
            </w:pPr>
            <w:r>
              <w:rPr>
                <w:rFonts w:eastAsia="仿宋"/>
                <w:bCs/>
                <w:kern w:val="0"/>
                <w:sz w:val="24"/>
              </w:rPr>
              <w:t>25</w:t>
            </w:r>
          </w:p>
        </w:tc>
        <w:tc>
          <w:tcPr>
            <w:tcW w:w="1134" w:type="dxa"/>
          </w:tcPr>
          <w:p>
            <w:pPr>
              <w:widowControl/>
              <w:spacing w:line="400" w:lineRule="exact"/>
              <w:jc w:val="center"/>
              <w:rPr>
                <w:rFonts w:eastAsia="仿宋"/>
                <w:bCs/>
                <w:kern w:val="0"/>
                <w:sz w:val="24"/>
              </w:rPr>
            </w:pPr>
            <w:r>
              <w:rPr>
                <w:rFonts w:hint="eastAsia" w:eastAsia="仿宋"/>
                <w:bCs/>
                <w:kern w:val="0"/>
                <w:sz w:val="24"/>
              </w:rPr>
              <w:t>3</w:t>
            </w:r>
            <w:r>
              <w:rPr>
                <w:rFonts w:eastAsia="仿宋"/>
                <w:bCs/>
                <w:kern w:val="0"/>
                <w:sz w:val="24"/>
              </w:rPr>
              <w:t>0</w:t>
            </w:r>
          </w:p>
        </w:tc>
        <w:tc>
          <w:tcPr>
            <w:tcW w:w="2262" w:type="dxa"/>
          </w:tcPr>
          <w:p>
            <w:pPr>
              <w:widowControl/>
              <w:spacing w:line="400" w:lineRule="exact"/>
              <w:jc w:val="center"/>
              <w:rPr>
                <w:rFonts w:eastAsia="仿宋"/>
                <w:bCs/>
                <w:kern w:val="0"/>
                <w:sz w:val="24"/>
              </w:rPr>
            </w:pPr>
            <w:r>
              <w:rPr>
                <w:rFonts w:hint="eastAsia" w:eastAsia="仿宋"/>
                <w:bCs/>
                <w:kern w:val="0"/>
                <w:sz w:val="24"/>
              </w:rPr>
              <w:t>3</w:t>
            </w:r>
            <w:r>
              <w:rPr>
                <w:rFonts w:eastAsia="仿宋"/>
                <w:bCs/>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土木工程防灾减灾组</w:t>
            </w:r>
          </w:p>
        </w:tc>
        <w:tc>
          <w:tcPr>
            <w:tcW w:w="2552" w:type="dxa"/>
          </w:tcPr>
          <w:p>
            <w:pPr>
              <w:widowControl/>
              <w:spacing w:line="400" w:lineRule="exact"/>
              <w:jc w:val="center"/>
              <w:rPr>
                <w:rFonts w:eastAsia="仿宋"/>
                <w:bCs/>
                <w:kern w:val="0"/>
                <w:sz w:val="24"/>
              </w:rPr>
            </w:pPr>
            <w:r>
              <w:rPr>
                <w:rFonts w:hint="eastAsia" w:ascii="仿宋" w:hAnsi="仿宋" w:eastAsia="仿宋" w:cs="仿宋"/>
                <w:bCs/>
                <w:color w:val="000000"/>
                <w:kern w:val="0"/>
                <w:szCs w:val="21"/>
              </w:rPr>
              <w:t>土木工程防灾减灾工程</w:t>
            </w:r>
          </w:p>
        </w:tc>
        <w:tc>
          <w:tcPr>
            <w:tcW w:w="1275" w:type="dxa"/>
          </w:tcPr>
          <w:p>
            <w:pPr>
              <w:widowControl/>
              <w:spacing w:line="400" w:lineRule="exact"/>
              <w:jc w:val="center"/>
              <w:rPr>
                <w:rFonts w:eastAsia="仿宋"/>
                <w:bCs/>
                <w:kern w:val="0"/>
                <w:sz w:val="24"/>
              </w:rPr>
            </w:pPr>
            <w:r>
              <w:rPr>
                <w:rFonts w:eastAsia="仿宋"/>
                <w:bCs/>
                <w:kern w:val="0"/>
                <w:sz w:val="24"/>
              </w:rPr>
              <w:t>11</w:t>
            </w:r>
          </w:p>
        </w:tc>
        <w:tc>
          <w:tcPr>
            <w:tcW w:w="1134" w:type="dxa"/>
          </w:tcPr>
          <w:p>
            <w:pPr>
              <w:widowControl/>
              <w:spacing w:line="400" w:lineRule="exact"/>
              <w:jc w:val="center"/>
              <w:rPr>
                <w:rFonts w:eastAsia="仿宋"/>
                <w:bCs/>
                <w:kern w:val="0"/>
                <w:sz w:val="24"/>
              </w:rPr>
            </w:pPr>
            <w:r>
              <w:rPr>
                <w:rFonts w:hint="eastAsia" w:eastAsia="仿宋"/>
                <w:bCs/>
                <w:kern w:val="0"/>
                <w:sz w:val="24"/>
              </w:rPr>
              <w:t>1</w:t>
            </w:r>
            <w:r>
              <w:rPr>
                <w:rFonts w:eastAsia="仿宋"/>
                <w:bCs/>
                <w:kern w:val="0"/>
                <w:sz w:val="24"/>
              </w:rPr>
              <w:t>4</w:t>
            </w:r>
          </w:p>
        </w:tc>
        <w:tc>
          <w:tcPr>
            <w:tcW w:w="2262" w:type="dxa"/>
          </w:tcPr>
          <w:p>
            <w:pPr>
              <w:widowControl/>
              <w:spacing w:line="400" w:lineRule="exact"/>
              <w:jc w:val="center"/>
              <w:rPr>
                <w:rFonts w:eastAsia="仿宋"/>
                <w:bCs/>
                <w:kern w:val="0"/>
                <w:sz w:val="24"/>
              </w:rPr>
            </w:pPr>
            <w:r>
              <w:rPr>
                <w:rFonts w:hint="eastAsia" w:eastAsia="仿宋"/>
                <w:bCs/>
                <w:kern w:val="0"/>
                <w:sz w:val="24"/>
              </w:rPr>
              <w:t>2</w:t>
            </w:r>
          </w:p>
        </w:tc>
      </w:tr>
    </w:tbl>
    <w:p>
      <w:pPr>
        <w:pStyle w:val="26"/>
        <w:widowControl/>
        <w:spacing w:line="560" w:lineRule="exact"/>
        <w:ind w:firstLine="0" w:firstLineChars="0"/>
        <w:jc w:val="left"/>
        <w:rPr>
          <w:rFonts w:ascii="仿宋" w:hAnsi="仿宋" w:eastAsia="仿宋" w:cs="仿宋"/>
          <w:b/>
          <w:kern w:val="0"/>
          <w:sz w:val="30"/>
          <w:szCs w:val="30"/>
        </w:rPr>
      </w:pPr>
    </w:p>
    <w:p>
      <w:pPr>
        <w:pStyle w:val="26"/>
        <w:widowControl/>
        <w:spacing w:line="560" w:lineRule="exact"/>
        <w:ind w:firstLine="0" w:firstLineChars="0"/>
        <w:jc w:val="left"/>
        <w:rPr>
          <w:rFonts w:ascii="仿宋" w:hAnsi="仿宋" w:eastAsia="仿宋" w:cs="仿宋"/>
          <w:b/>
          <w:kern w:val="0"/>
          <w:sz w:val="30"/>
          <w:szCs w:val="30"/>
        </w:rPr>
      </w:pPr>
      <w:r>
        <w:rPr>
          <w:rFonts w:hint="eastAsia" w:ascii="仿宋" w:hAnsi="仿宋" w:eastAsia="仿宋" w:cs="仿宋"/>
          <w:b/>
          <w:kern w:val="0"/>
          <w:sz w:val="30"/>
          <w:szCs w:val="30"/>
        </w:rPr>
        <w:t>二、复试程序</w:t>
      </w:r>
    </w:p>
    <w:p>
      <w:pPr>
        <w:widowControl/>
        <w:spacing w:line="560" w:lineRule="exact"/>
        <w:ind w:firstLine="420"/>
        <w:jc w:val="left"/>
        <w:rPr>
          <w:rFonts w:ascii="仿宋" w:hAnsi="仿宋" w:eastAsia="仿宋" w:cs="仿宋"/>
          <w:b/>
          <w:kern w:val="0"/>
          <w:sz w:val="28"/>
          <w:szCs w:val="28"/>
        </w:rPr>
      </w:pPr>
      <w:r>
        <w:rPr>
          <w:rFonts w:hint="eastAsia" w:ascii="仿宋" w:hAnsi="仿宋" w:eastAsia="仿宋" w:cs="仿宋"/>
          <w:b/>
          <w:kern w:val="0"/>
          <w:sz w:val="28"/>
          <w:szCs w:val="28"/>
        </w:rPr>
        <w:t>（一）网上系统操作</w:t>
      </w:r>
    </w:p>
    <w:p>
      <w:pPr>
        <w:widowControl/>
        <w:spacing w:line="560" w:lineRule="exact"/>
        <w:ind w:firstLine="540"/>
        <w:jc w:val="left"/>
        <w:rPr>
          <w:rFonts w:ascii="仿宋" w:hAnsi="仿宋" w:eastAsia="仿宋" w:cs="仿宋"/>
          <w:bCs/>
          <w:kern w:val="0"/>
          <w:sz w:val="28"/>
          <w:szCs w:val="28"/>
        </w:rPr>
      </w:pPr>
      <w:r>
        <w:rPr>
          <w:rFonts w:hint="eastAsia" w:ascii="仿宋" w:hAnsi="仿宋" w:eastAsia="仿宋" w:cs="仿宋"/>
          <w:bCs/>
          <w:kern w:val="0"/>
          <w:sz w:val="28"/>
          <w:szCs w:val="28"/>
        </w:rPr>
        <w:t>参加复试的考生需达到我院各专业分数线，复试考生请登陆研究生院主页（</w:t>
      </w:r>
      <w:r>
        <w:rPr>
          <w:rFonts w:hint="eastAsia" w:ascii="Arial" w:hAnsi="Arial" w:eastAsia="仿宋" w:cs="Arial"/>
          <w:bCs/>
          <w:kern w:val="0"/>
          <w:sz w:val="24"/>
        </w:rPr>
        <w:t>http://gs.bjtu.edu.cn/cms/zszt/</w:t>
      </w:r>
      <w:r>
        <w:rPr>
          <w:rFonts w:hint="eastAsia" w:ascii="仿宋" w:hAnsi="仿宋" w:eastAsia="仿宋" w:cs="仿宋"/>
          <w:bCs/>
          <w:kern w:val="0"/>
          <w:sz w:val="28"/>
          <w:szCs w:val="28"/>
        </w:rPr>
        <w:t>），参阅《北京交通大学2024年硕士研究生复试、调剂流程》（见附件1）。进行网上报名并下载相应材料。</w:t>
      </w:r>
    </w:p>
    <w:p>
      <w:pPr>
        <w:widowControl/>
        <w:spacing w:line="560" w:lineRule="exact"/>
        <w:ind w:firstLine="420"/>
        <w:jc w:val="left"/>
        <w:rPr>
          <w:rFonts w:ascii="仿宋" w:hAnsi="仿宋" w:eastAsia="仿宋" w:cs="仿宋"/>
          <w:b/>
          <w:kern w:val="0"/>
          <w:sz w:val="28"/>
          <w:szCs w:val="28"/>
        </w:rPr>
      </w:pPr>
      <w:r>
        <w:rPr>
          <w:rFonts w:hint="eastAsia" w:ascii="仿宋" w:hAnsi="仿宋" w:eastAsia="仿宋" w:cs="仿宋"/>
          <w:b/>
          <w:kern w:val="0"/>
          <w:sz w:val="28"/>
          <w:szCs w:val="28"/>
        </w:rPr>
        <w:t>（二）考生报到及复试资格现场审查</w:t>
      </w:r>
    </w:p>
    <w:p>
      <w:pPr>
        <w:widowControl/>
        <w:spacing w:line="560" w:lineRule="exact"/>
        <w:ind w:firstLine="540"/>
        <w:jc w:val="left"/>
        <w:rPr>
          <w:rFonts w:ascii="仿宋" w:hAnsi="仿宋" w:eastAsia="仿宋" w:cs="仿宋"/>
          <w:bCs/>
          <w:kern w:val="0"/>
          <w:sz w:val="28"/>
          <w:szCs w:val="28"/>
        </w:rPr>
      </w:pPr>
      <w:r>
        <w:rPr>
          <w:rFonts w:hint="eastAsia" w:ascii="仿宋" w:hAnsi="仿宋" w:eastAsia="仿宋" w:cs="仿宋"/>
          <w:bCs/>
          <w:kern w:val="0"/>
          <w:sz w:val="28"/>
          <w:szCs w:val="28"/>
        </w:rPr>
        <w:t>复试前对复试考生进行资格审查。</w:t>
      </w:r>
    </w:p>
    <w:p>
      <w:pPr>
        <w:widowControl/>
        <w:spacing w:line="560" w:lineRule="exact"/>
        <w:ind w:firstLine="540"/>
        <w:jc w:val="left"/>
        <w:rPr>
          <w:rFonts w:ascii="仿宋" w:hAnsi="仿宋" w:eastAsia="仿宋" w:cs="仿宋"/>
          <w:bCs/>
          <w:kern w:val="0"/>
          <w:sz w:val="28"/>
          <w:szCs w:val="28"/>
        </w:rPr>
      </w:pPr>
      <w:r>
        <w:rPr>
          <w:rFonts w:hint="eastAsia" w:ascii="仿宋" w:hAnsi="仿宋" w:eastAsia="仿宋" w:cs="仿宋"/>
          <w:bCs/>
          <w:kern w:val="0"/>
          <w:sz w:val="28"/>
          <w:szCs w:val="28"/>
        </w:rPr>
        <w:t>1、审核时间：2024年3月29日9:00-11:30、12:30-15:00</w:t>
      </w:r>
    </w:p>
    <w:p>
      <w:pPr>
        <w:widowControl/>
        <w:spacing w:line="560" w:lineRule="exact"/>
        <w:ind w:firstLine="540"/>
        <w:jc w:val="left"/>
        <w:rPr>
          <w:rFonts w:ascii="仿宋" w:hAnsi="仿宋" w:eastAsia="仿宋" w:cs="仿宋"/>
          <w:bCs/>
          <w:kern w:val="0"/>
          <w:sz w:val="28"/>
          <w:szCs w:val="28"/>
        </w:rPr>
      </w:pPr>
      <w:r>
        <w:rPr>
          <w:rFonts w:hint="eastAsia" w:ascii="仿宋" w:hAnsi="仿宋" w:eastAsia="仿宋" w:cs="仿宋"/>
          <w:bCs/>
          <w:kern w:val="0"/>
          <w:sz w:val="28"/>
          <w:szCs w:val="28"/>
        </w:rPr>
        <w:t>2、审核地点：土木工程楼一楼大厅。</w:t>
      </w:r>
    </w:p>
    <w:p>
      <w:pPr>
        <w:widowControl/>
        <w:spacing w:line="560" w:lineRule="exact"/>
        <w:ind w:firstLine="540"/>
        <w:jc w:val="left"/>
        <w:rPr>
          <w:rFonts w:ascii="仿宋" w:hAnsi="仿宋" w:eastAsia="仿宋" w:cs="仿宋"/>
          <w:bCs/>
          <w:kern w:val="0"/>
          <w:sz w:val="28"/>
          <w:szCs w:val="28"/>
        </w:rPr>
      </w:pPr>
      <w:r>
        <w:rPr>
          <w:rFonts w:hint="eastAsia" w:ascii="仿宋" w:hAnsi="仿宋" w:eastAsia="仿宋" w:cs="仿宋"/>
          <w:bCs/>
          <w:kern w:val="0"/>
          <w:sz w:val="28"/>
          <w:szCs w:val="28"/>
        </w:rPr>
        <w:t>资格审核流程、复试笔试考场、各复试专业（方向）面试地点请在现场查阅。如有变动以报名现场通知为准。</w:t>
      </w:r>
    </w:p>
    <w:p>
      <w:pPr>
        <w:widowControl/>
        <w:spacing w:line="560" w:lineRule="exact"/>
        <w:ind w:firstLine="540"/>
        <w:jc w:val="left"/>
        <w:rPr>
          <w:rFonts w:ascii="仿宋" w:hAnsi="仿宋" w:eastAsia="仿宋" w:cs="仿宋"/>
          <w:bCs/>
          <w:kern w:val="0"/>
          <w:sz w:val="28"/>
          <w:szCs w:val="28"/>
        </w:rPr>
      </w:pPr>
      <w:r>
        <w:rPr>
          <w:rFonts w:hint="eastAsia" w:ascii="仿宋" w:hAnsi="仿宋" w:eastAsia="仿宋" w:cs="仿宋"/>
          <w:bCs/>
          <w:kern w:val="0"/>
          <w:sz w:val="28"/>
          <w:szCs w:val="28"/>
        </w:rPr>
        <w:t>3、报到现场需要核查的基本证件</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1）准考证；</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2）有效身份证原件；</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3）学历证书（应届生带学生证）原件；</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4）大学期间成绩单原件或人事档案中成绩单复印件并加盖档案单位红章；</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5）硕士招生系统生成的《复试登记表》，报到现场将在《登记表》上盖章、标注笔试考号。</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4、报到现场要求提交的材料，请按以下顺序事先装订好</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1）身份证复印件（正、反面复印在一张A4纸上，本人签字）；</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2）往届生：学历证复印件、教育部学历认证报告；</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3）应届生：学生证复印件、教育部学籍在线验证报告；</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4）大学期间成绩单原件或人事档案中大学成绩单复印件并加盖档案单位红章。</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5）报考退役大学生士兵计划的考生，还须提交《入伍批准书》复印件（加盖档案部门公章）、《退出现役证》原件及一份复印件。</w:t>
      </w:r>
    </w:p>
    <w:p>
      <w:pPr>
        <w:widowControl/>
        <w:spacing w:line="560" w:lineRule="exact"/>
        <w:ind w:left="210" w:leftChars="100" w:firstLine="480"/>
        <w:jc w:val="left"/>
        <w:rPr>
          <w:rFonts w:ascii="仿宋" w:hAnsi="仿宋" w:eastAsia="仿宋" w:cs="仿宋"/>
          <w:bCs/>
          <w:kern w:val="0"/>
          <w:sz w:val="28"/>
          <w:szCs w:val="28"/>
        </w:rPr>
      </w:pPr>
      <w:r>
        <w:rPr>
          <w:rFonts w:hint="eastAsia" w:ascii="仿宋" w:hAnsi="仿宋" w:eastAsia="仿宋" w:cs="仿宋"/>
          <w:bCs/>
          <w:kern w:val="0"/>
          <w:sz w:val="28"/>
          <w:szCs w:val="28"/>
        </w:rPr>
        <w:t>6）申请享受少数民族照顾政策的考生，还须提交所在单位同意报考证明（加盖所在单位公章或人事部门公章）、户口本首页和本人页原件及一份复印件。</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考生要确保填报信息及提交材料的真实性，填报虚假信息、提供虚假证明材料的，一经查实，将取消考试、录取资格。我校将在新生入学后3个月内，</w:t>
      </w:r>
      <w:bookmarkStart w:id="0" w:name="_Hlk37331254"/>
      <w:r>
        <w:rPr>
          <w:rFonts w:hint="eastAsia" w:ascii="仿宋" w:hAnsi="仿宋" w:eastAsia="仿宋" w:cs="仿宋"/>
          <w:bCs/>
          <w:kern w:val="0"/>
          <w:sz w:val="28"/>
          <w:szCs w:val="28"/>
        </w:rPr>
        <w:t>按照《普通高等学校学生管理规定》有关要求，对所有考生资格进行全面复查。复查不合格的，取消学籍；情节严重的，移交有关部门调查处理。</w:t>
      </w:r>
      <w:bookmarkEnd w:id="0"/>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(三）复试考核方式</w:t>
      </w:r>
    </w:p>
    <w:p>
      <w:pPr>
        <w:widowControl/>
        <w:spacing w:line="560" w:lineRule="exact"/>
        <w:ind w:firstLine="360"/>
        <w:jc w:val="left"/>
        <w:rPr>
          <w:rFonts w:ascii="仿宋" w:hAnsi="仿宋" w:eastAsia="仿宋" w:cs="仿宋"/>
          <w:bCs/>
          <w:kern w:val="0"/>
          <w:sz w:val="28"/>
          <w:szCs w:val="28"/>
        </w:rPr>
      </w:pPr>
      <w:r>
        <w:rPr>
          <w:rFonts w:hint="eastAsia" w:ascii="仿宋" w:hAnsi="仿宋" w:eastAsia="仿宋" w:cs="仿宋"/>
          <w:bCs/>
          <w:kern w:val="0"/>
          <w:sz w:val="28"/>
          <w:szCs w:val="28"/>
        </w:rPr>
        <w:t>复试由专业课笔试和综合面试组成。具体时间、地点及要求如下：</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1、专业课笔试  </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需携带准考证、身份证、《复试登记表》。并按照《复试登记表》上标注的考号进入考场。</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笔试科目：考生本人在招生系统里填报的考试科目。</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笔试时间：2024年3月30日9：00-11：00（考试方式为闭卷，考试时间120分钟），请提前二十分钟到考场。</w:t>
      </w:r>
    </w:p>
    <w:p>
      <w:pPr>
        <w:widowControl/>
        <w:spacing w:line="560" w:lineRule="exact"/>
        <w:ind w:firstLine="480"/>
        <w:jc w:val="left"/>
        <w:rPr>
          <w:rFonts w:ascii="仿宋" w:hAnsi="仿宋" w:eastAsia="仿宋" w:cs="仿宋"/>
          <w:bCs/>
          <w:sz w:val="28"/>
          <w:szCs w:val="28"/>
        </w:rPr>
      </w:pPr>
      <w:r>
        <w:rPr>
          <w:rFonts w:hint="eastAsia" w:ascii="仿宋" w:hAnsi="仿宋" w:eastAsia="仿宋" w:cs="仿宋"/>
          <w:bCs/>
          <w:kern w:val="0"/>
          <w:sz w:val="28"/>
          <w:szCs w:val="28"/>
        </w:rPr>
        <w:t>笔试考场：请于报</w:t>
      </w:r>
      <w:r>
        <w:rPr>
          <w:rFonts w:hint="eastAsia" w:ascii="仿宋" w:hAnsi="仿宋" w:eastAsia="仿宋" w:cs="仿宋"/>
          <w:b/>
          <w:kern w:val="0"/>
          <w:sz w:val="28"/>
          <w:szCs w:val="28"/>
        </w:rPr>
        <w:t>到</w:t>
      </w:r>
      <w:r>
        <w:rPr>
          <w:rFonts w:hint="eastAsia" w:ascii="仿宋" w:hAnsi="仿宋" w:eastAsia="仿宋" w:cs="仿宋"/>
          <w:bCs/>
          <w:kern w:val="0"/>
          <w:sz w:val="28"/>
          <w:szCs w:val="28"/>
        </w:rPr>
        <w:t>现场查看。如有变化以现场通知为准。专业课笔试不得补考。</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2、综合面试</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综合面试由复试小组具体实施。面试时间2024年3月31日。各专业方向具体时间、地点请于报</w:t>
      </w:r>
      <w:r>
        <w:rPr>
          <w:rFonts w:hint="eastAsia" w:ascii="仿宋" w:hAnsi="仿宋" w:eastAsia="仿宋" w:cs="仿宋"/>
          <w:b/>
          <w:kern w:val="0"/>
          <w:sz w:val="28"/>
          <w:szCs w:val="28"/>
        </w:rPr>
        <w:t>到</w:t>
      </w:r>
      <w:r>
        <w:rPr>
          <w:rFonts w:hint="eastAsia" w:ascii="仿宋" w:hAnsi="仿宋" w:eastAsia="仿宋" w:cs="仿宋"/>
          <w:bCs/>
          <w:kern w:val="0"/>
          <w:sz w:val="28"/>
          <w:szCs w:val="28"/>
        </w:rPr>
        <w:t>现场查看，如有变化以现场通知为准。</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面试时，请携带准考证、身份证、《复试登记表》、《个人陈述表》。请按照面试秘书的引导进入面试考场，并向秘书提交《复试登记表》、《陈述表》。</w:t>
      </w:r>
    </w:p>
    <w:p>
      <w:pPr>
        <w:widowControl/>
        <w:spacing w:line="560" w:lineRule="exact"/>
        <w:ind w:firstLine="480"/>
        <w:jc w:val="left"/>
        <w:rPr>
          <w:rFonts w:hint="eastAsia" w:ascii="仿宋" w:hAnsi="仿宋" w:eastAsia="仿宋" w:cs="仿宋"/>
          <w:bCs/>
          <w:kern w:val="0"/>
          <w:sz w:val="28"/>
          <w:szCs w:val="28"/>
        </w:rPr>
      </w:pPr>
      <w:r>
        <w:rPr>
          <w:rFonts w:hint="eastAsia" w:ascii="仿宋" w:hAnsi="仿宋" w:eastAsia="仿宋" w:cs="仿宋"/>
          <w:bCs/>
          <w:kern w:val="0"/>
          <w:sz w:val="28"/>
          <w:szCs w:val="28"/>
        </w:rPr>
        <w:t>综合面试内容：由外语听力口语测试和综合能力面试两部分组成。</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（1）外语听力口语测试：包含考生本人自述和复试小组提问部分，主要考查考生的英语听力及口语水平等英语综合能力。</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（2）综合能力面试：主要考查考生的专业及综合素质能力。</w:t>
      </w:r>
    </w:p>
    <w:p>
      <w:pPr>
        <w:widowControl/>
        <w:spacing w:line="56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专业素质和能力主要包括大学阶段学习情况及成绩；对本学科（专业）理论知识和应用技能掌握程度；利用所学理论发现、分析和解决问题的能力；对本学科发展动态的了解以及在本专业领域发展的潜力；创新精神和创新能力。</w:t>
      </w:r>
    </w:p>
    <w:p>
      <w:pPr>
        <w:widowControl/>
        <w:spacing w:line="56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综合素质和能力主要包括思想政治素质和道德品质；本学科（专业）以外的学习、科研、社会实践（学生工作、社团活动、志愿服务等）或实际工作表现等方面的情况；事业心、责任感、纪律性（遵纪守法）、协作性；心理健康情况；人文素养；举止、表达和礼仪等。。</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（四）思想政治素质和道德品质考核</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我校利用《国家教育考试考生诚信档案》记录，加强对考生在报考时填写的考试作弊受处罚情况进行认真核查，将考生诚信状况作为思想品德考核的重要内容和录取的重要依据。</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复试结束后，我校向拟录取考生所在单位函调人事档案（或档案审查意见）和本人现实表现等材料，全面考查考生思想政治和品德情况。函调的考生现实表现材料，需由考生本人档案或工作所在单位的人事、政工部门加盖印章。</w:t>
      </w:r>
    </w:p>
    <w:p>
      <w:pPr>
        <w:widowControl/>
        <w:spacing w:line="560" w:lineRule="exact"/>
        <w:jc w:val="left"/>
        <w:rPr>
          <w:rFonts w:ascii="仿宋" w:hAnsi="仿宋" w:eastAsia="仿宋" w:cs="仿宋"/>
          <w:bCs/>
          <w:kern w:val="0"/>
          <w:sz w:val="28"/>
          <w:szCs w:val="28"/>
        </w:rPr>
      </w:pPr>
      <w:r>
        <w:rPr>
          <w:rFonts w:hint="eastAsia" w:ascii="仿宋" w:hAnsi="仿宋" w:eastAsia="仿宋" w:cs="仿宋"/>
          <w:bCs/>
          <w:kern w:val="0"/>
          <w:sz w:val="28"/>
          <w:szCs w:val="28"/>
        </w:rPr>
        <w:t>三、复试成绩计算、权重分配、总成绩合成</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复试总成绩满分为350分（及格分为210分），其中专业课笔试满分150分，综合面试满分200分（包含50分外语听力口语部分以及150分综合能力部分）。初试总成绩满分500分，复试总成绩满分350分，总成绩满分850分。</w:t>
      </w:r>
    </w:p>
    <w:p>
      <w:pPr>
        <w:widowControl/>
        <w:spacing w:line="560" w:lineRule="exact"/>
        <w:jc w:val="left"/>
        <w:rPr>
          <w:rFonts w:ascii="仿宋" w:hAnsi="仿宋" w:eastAsia="仿宋" w:cs="仿宋"/>
          <w:bCs/>
          <w:kern w:val="0"/>
          <w:sz w:val="28"/>
          <w:szCs w:val="28"/>
        </w:rPr>
      </w:pPr>
      <w:r>
        <w:rPr>
          <w:rFonts w:hint="eastAsia" w:ascii="仿宋" w:hAnsi="仿宋" w:eastAsia="仿宋" w:cs="仿宋"/>
          <w:bCs/>
          <w:kern w:val="0"/>
          <w:sz w:val="28"/>
          <w:szCs w:val="28"/>
        </w:rPr>
        <w:t>四、复试考生的加分原则和依据</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我校参加“大学生志愿服务西部计划”、“三支一扶计划”、“农村义务教育阶段学校教师特设岗位计划”、“赴外汉语教师志愿者”、“高校学生应征入伍服现役退役”、“选聘高校毕业生到村任职”等其他专项计划/项目，服务期满并考核合格的考生，执行教育部有关加分政策。</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符合教育部规定、可享受研究生入学考试初试加分政策的考生须于3月26日前将相关证明材料通过电子邮件的形式提交至研究生院（</w:t>
      </w:r>
      <w:r>
        <w:rPr>
          <w:rFonts w:hint="eastAsia" w:ascii="Arial" w:hAnsi="Arial" w:eastAsia="仿宋" w:cs="Arial"/>
          <w:bCs/>
          <w:kern w:val="0"/>
          <w:sz w:val="24"/>
        </w:rPr>
        <w:t>bjtuyzb@bjtu.edu.cn</w:t>
      </w:r>
      <w:r>
        <w:rPr>
          <w:rFonts w:hint="eastAsia" w:ascii="仿宋" w:hAnsi="仿宋" w:eastAsia="仿宋" w:cs="仿宋"/>
          <w:bCs/>
          <w:kern w:val="0"/>
          <w:sz w:val="28"/>
          <w:szCs w:val="28"/>
        </w:rPr>
        <w:t>），我校根据教育部最新文件及名单审核考生资格，符合资格的考生将享受初试成绩总分加分（单科不加分）。</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五、录取原则</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我校根据招生计划、复试录取办法以及考生初试和复试成绩、思想政治表现等择优确定拟录取名单。复试成绩不及格者，不予录取。思想政治素质和道德品质考核不作量化计入总成绩，但考核结果不合格者不予录取。加试课程的成绩不计入复试成绩，但不合格者不予录取。</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定向就业的硕士研究生须在被录取前与我校签订定向就业录取类别研究生告知书。考生因报考硕士研究生与所在单位产生的问题由考生自行处理，若因此造成考生不能复试或无法录取的，招生单位不承担责任。</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经考生确认的报考信息在录取阶段一律不作修改，对报考资格不符合规定者不予录取。未通过或未按时完成学历（学籍）审核的考生不予录取。</w:t>
      </w:r>
    </w:p>
    <w:p>
      <w:pPr>
        <w:widowControl/>
        <w:spacing w:line="560" w:lineRule="exact"/>
        <w:ind w:firstLine="480"/>
        <w:jc w:val="left"/>
        <w:rPr>
          <w:rFonts w:ascii="仿宋" w:hAnsi="仿宋" w:eastAsia="仿宋" w:cs="仿宋"/>
          <w:bCs/>
          <w:kern w:val="0"/>
          <w:sz w:val="28"/>
          <w:szCs w:val="28"/>
        </w:rPr>
      </w:pPr>
      <w:r>
        <w:rPr>
          <w:rFonts w:hint="eastAsia" w:ascii="仿宋" w:hAnsi="仿宋" w:eastAsia="仿宋" w:cs="仿宋"/>
          <w:bCs/>
          <w:kern w:val="0"/>
          <w:sz w:val="28"/>
          <w:szCs w:val="28"/>
        </w:rPr>
        <w:t>应届本科毕业生及自学考试和网络教育届时可毕业本科生考生，入学时未取得国家承认的本科毕业证书者，录取资格无效。</w:t>
      </w:r>
    </w:p>
    <w:p>
      <w:pPr>
        <w:widowControl/>
        <w:spacing w:line="560" w:lineRule="exact"/>
        <w:jc w:val="left"/>
        <w:rPr>
          <w:rFonts w:ascii="仿宋" w:hAnsi="仿宋" w:eastAsia="仿宋" w:cs="仿宋"/>
          <w:bCs/>
          <w:kern w:val="0"/>
          <w:sz w:val="28"/>
          <w:szCs w:val="28"/>
        </w:rPr>
      </w:pPr>
      <w:r>
        <w:rPr>
          <w:rFonts w:hint="eastAsia" w:ascii="仿宋" w:hAnsi="仿宋" w:eastAsia="仿宋" w:cs="仿宋"/>
          <w:bCs/>
          <w:kern w:val="0"/>
          <w:sz w:val="28"/>
          <w:szCs w:val="28"/>
        </w:rPr>
        <w:t>六、信息公示</w:t>
      </w:r>
    </w:p>
    <w:p>
      <w:pPr>
        <w:widowControl/>
        <w:spacing w:line="560" w:lineRule="exact"/>
        <w:ind w:firstLine="660"/>
        <w:jc w:val="left"/>
        <w:rPr>
          <w:rFonts w:ascii="仿宋" w:hAnsi="仿宋" w:eastAsia="仿宋" w:cs="仿宋"/>
          <w:bCs/>
          <w:kern w:val="0"/>
          <w:sz w:val="28"/>
          <w:szCs w:val="28"/>
        </w:rPr>
      </w:pPr>
      <w:r>
        <w:rPr>
          <w:rFonts w:hint="eastAsia" w:ascii="仿宋" w:hAnsi="仿宋" w:eastAsia="仿宋" w:cs="仿宋"/>
          <w:bCs/>
          <w:kern w:val="0"/>
          <w:sz w:val="28"/>
          <w:szCs w:val="28"/>
        </w:rPr>
        <w:t>复试工作过程中的录取办法、复试名单、拟录取名单均在土建学院官网（</w:t>
      </w:r>
      <w:r>
        <w:rPr>
          <w:rFonts w:hint="eastAsia" w:ascii="Arial" w:hAnsi="Arial" w:eastAsia="仿宋" w:cs="Arial"/>
          <w:bCs/>
          <w:kern w:val="0"/>
          <w:sz w:val="24"/>
        </w:rPr>
        <w:t>http://civil.bjtu.edu.cn</w:t>
      </w:r>
      <w:r>
        <w:rPr>
          <w:rFonts w:hint="eastAsia" w:ascii="仿宋" w:hAnsi="仿宋" w:eastAsia="仿宋" w:cs="仿宋"/>
          <w:bCs/>
          <w:kern w:val="0"/>
          <w:sz w:val="28"/>
          <w:szCs w:val="28"/>
        </w:rPr>
        <w:t>）“招生工作-研究生招生-硕士招生通知模块”发布，公示10个工作日。</w:t>
      </w:r>
    </w:p>
    <w:p>
      <w:pPr>
        <w:widowControl/>
        <w:spacing w:line="560" w:lineRule="exact"/>
        <w:jc w:val="left"/>
        <w:rPr>
          <w:rFonts w:ascii="仿宋" w:hAnsi="仿宋" w:eastAsia="仿宋" w:cs="仿宋"/>
          <w:bCs/>
          <w:kern w:val="0"/>
          <w:sz w:val="28"/>
          <w:szCs w:val="28"/>
        </w:rPr>
      </w:pPr>
      <w:r>
        <w:rPr>
          <w:rFonts w:hint="eastAsia" w:ascii="仿宋" w:hAnsi="仿宋" w:eastAsia="仿宋" w:cs="仿宋"/>
          <w:bCs/>
          <w:kern w:val="0"/>
          <w:sz w:val="28"/>
          <w:szCs w:val="28"/>
        </w:rPr>
        <w:t>七、复试费用 </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按照北京市发改委文件要求，通过资格审查的考生参加复试应缴纳100元复试费，复试费通过学校的研究生招生系统进行网上支付。缴费后因各种原因不能参加复试者，已支付的复试费不退。</w:t>
      </w:r>
    </w:p>
    <w:p>
      <w:pPr>
        <w:widowControl/>
        <w:spacing w:line="560" w:lineRule="exact"/>
        <w:jc w:val="left"/>
        <w:rPr>
          <w:rFonts w:ascii="仿宋" w:hAnsi="仿宋" w:eastAsia="仿宋" w:cs="仿宋"/>
          <w:bCs/>
          <w:kern w:val="0"/>
          <w:sz w:val="28"/>
          <w:szCs w:val="28"/>
        </w:rPr>
      </w:pPr>
      <w:r>
        <w:rPr>
          <w:rFonts w:hint="eastAsia" w:ascii="仿宋" w:hAnsi="仿宋" w:eastAsia="仿宋" w:cs="仿宋"/>
          <w:bCs/>
          <w:kern w:val="0"/>
          <w:sz w:val="28"/>
          <w:szCs w:val="28"/>
        </w:rPr>
        <w:t>八、其他注意事项</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1.凡有资格参加复试的考生必须按规定日期准时到我院进行资格审查并按规定参加复试，不得以任何理由推迟复试。</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2.凡未按时参加复试的考生均按自动放弃处理。</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3.具体复试时间及地点安排请登录土木建筑工程学院主页（</w:t>
      </w:r>
      <w:r>
        <w:rPr>
          <w:rFonts w:hint="eastAsia" w:ascii="Arial" w:hAnsi="Arial" w:eastAsia="仿宋" w:cs="Arial"/>
          <w:bCs/>
          <w:kern w:val="0"/>
          <w:sz w:val="24"/>
        </w:rPr>
        <w:t>http://civil.bjtu.edu.cn</w:t>
      </w:r>
      <w:r>
        <w:rPr>
          <w:rFonts w:hint="eastAsia" w:ascii="仿宋" w:hAnsi="仿宋" w:eastAsia="仿宋" w:cs="仿宋"/>
          <w:bCs/>
          <w:kern w:val="0"/>
          <w:sz w:val="28"/>
          <w:szCs w:val="28"/>
        </w:rPr>
        <w:t>）“招生工作栏目-硕士研究生招生通知”查阅，并在资格审核现场确认。</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4.复试期间食宿自理。</w:t>
      </w:r>
    </w:p>
    <w:p>
      <w:pPr>
        <w:widowControl/>
        <w:spacing w:line="560" w:lineRule="exact"/>
        <w:jc w:val="left"/>
        <w:rPr>
          <w:rFonts w:ascii="仿宋" w:hAnsi="仿宋" w:eastAsia="仿宋" w:cs="仿宋"/>
          <w:bCs/>
          <w:kern w:val="0"/>
          <w:sz w:val="28"/>
          <w:szCs w:val="28"/>
        </w:rPr>
      </w:pPr>
      <w:r>
        <w:rPr>
          <w:rFonts w:hint="eastAsia" w:ascii="仿宋" w:hAnsi="仿宋" w:eastAsia="仿宋" w:cs="仿宋"/>
          <w:bCs/>
          <w:kern w:val="0"/>
          <w:sz w:val="28"/>
          <w:szCs w:val="28"/>
        </w:rPr>
        <w:t>九、联系方式</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 xml:space="preserve">咨询及投诉联系电话：010-51685313     </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邮箱：</w:t>
      </w:r>
      <w:r>
        <w:rPr>
          <w:rFonts w:hint="eastAsia" w:ascii="Arial" w:hAnsi="Arial" w:eastAsia="仿宋" w:cs="Arial"/>
          <w:bCs/>
          <w:kern w:val="0"/>
          <w:sz w:val="24"/>
        </w:rPr>
        <w:t>mwang@bjtu.edu.cn</w:t>
      </w:r>
    </w:p>
    <w:p>
      <w:pPr>
        <w:widowControl/>
        <w:spacing w:line="560" w:lineRule="exact"/>
        <w:ind w:firstLine="420"/>
        <w:jc w:val="left"/>
        <w:rPr>
          <w:rFonts w:ascii="仿宋" w:hAnsi="仿宋" w:eastAsia="仿宋" w:cs="仿宋"/>
          <w:bCs/>
          <w:kern w:val="0"/>
          <w:sz w:val="28"/>
          <w:szCs w:val="28"/>
        </w:rPr>
      </w:pPr>
      <w:r>
        <w:rPr>
          <w:rFonts w:hint="eastAsia" w:ascii="仿宋" w:hAnsi="仿宋" w:eastAsia="仿宋" w:cs="仿宋"/>
          <w:bCs/>
          <w:kern w:val="0"/>
          <w:sz w:val="28"/>
          <w:szCs w:val="28"/>
        </w:rPr>
        <w:t>网站：</w:t>
      </w:r>
      <w:r>
        <w:fldChar w:fldCharType="begin"/>
      </w:r>
      <w:r>
        <w:instrText xml:space="preserve"> HYPERLINK "http://civil.bjtu.edu.cn/cms/" </w:instrText>
      </w:r>
      <w:r>
        <w:fldChar w:fldCharType="separate"/>
      </w:r>
      <w:r>
        <w:rPr>
          <w:rFonts w:hint="eastAsia" w:ascii="Arial" w:hAnsi="Arial" w:eastAsia="仿宋" w:cs="Arial"/>
          <w:bCs/>
          <w:kern w:val="0"/>
          <w:sz w:val="24"/>
        </w:rPr>
        <w:t>http://civil.bjtu.edu.cn</w:t>
      </w:r>
      <w:r>
        <w:rPr>
          <w:rFonts w:hint="eastAsia" w:ascii="Arial" w:hAnsi="Arial" w:eastAsia="仿宋" w:cs="Arial"/>
          <w:bCs/>
          <w:kern w:val="0"/>
          <w:sz w:val="24"/>
        </w:rPr>
        <w:fldChar w:fldCharType="end"/>
      </w:r>
    </w:p>
    <w:p>
      <w:pPr>
        <w:widowControl/>
        <w:spacing w:line="560" w:lineRule="exact"/>
        <w:ind w:firstLine="420"/>
        <w:jc w:val="left"/>
        <w:rPr>
          <w:rFonts w:ascii="仿宋" w:hAnsi="仿宋" w:eastAsia="仿宋" w:cs="仿宋"/>
          <w:bCs/>
          <w:kern w:val="0"/>
          <w:sz w:val="28"/>
          <w:szCs w:val="28"/>
        </w:rPr>
      </w:pPr>
    </w:p>
    <w:p>
      <w:pPr>
        <w:widowControl/>
        <w:spacing w:line="560" w:lineRule="exact"/>
        <w:jc w:val="right"/>
        <w:rPr>
          <w:rFonts w:ascii="仿宋" w:hAnsi="仿宋" w:eastAsia="仿宋" w:cs="仿宋"/>
          <w:bCs/>
          <w:kern w:val="0"/>
          <w:sz w:val="28"/>
          <w:szCs w:val="28"/>
        </w:rPr>
      </w:pPr>
      <w:r>
        <w:rPr>
          <w:rFonts w:hint="eastAsia" w:ascii="仿宋" w:hAnsi="仿宋" w:eastAsia="仿宋" w:cs="仿宋"/>
          <w:bCs/>
          <w:color w:val="000000"/>
          <w:kern w:val="0"/>
          <w:sz w:val="28"/>
          <w:szCs w:val="28"/>
        </w:rPr>
        <w:t>北京交通大学土木建筑工程学院</w:t>
      </w:r>
    </w:p>
    <w:p>
      <w:pPr>
        <w:widowControl/>
        <w:spacing w:line="560" w:lineRule="exact"/>
        <w:ind w:firstLine="480"/>
        <w:jc w:val="right"/>
        <w:rPr>
          <w:rFonts w:ascii="仿宋" w:hAnsi="仿宋" w:eastAsia="仿宋" w:cs="仿宋"/>
          <w:bCs/>
          <w:kern w:val="0"/>
          <w:sz w:val="28"/>
          <w:szCs w:val="28"/>
        </w:rPr>
      </w:pPr>
      <w:r>
        <w:rPr>
          <w:rFonts w:hint="eastAsia" w:ascii="仿宋" w:hAnsi="仿宋" w:eastAsia="仿宋" w:cs="仿宋"/>
          <w:bCs/>
          <w:color w:val="000000"/>
          <w:kern w:val="0"/>
          <w:sz w:val="28"/>
          <w:szCs w:val="28"/>
        </w:rPr>
        <w:t>2024年3月22日</w:t>
      </w:r>
    </w:p>
    <w:p>
      <w:pPr>
        <w:widowControl/>
        <w:spacing w:line="560" w:lineRule="exact"/>
        <w:jc w:val="left"/>
        <w:rPr>
          <w:rFonts w:ascii="Calibri" w:hAnsi="Calibri" w:eastAsia="仿宋" w:cs="Calibri"/>
          <w:bCs/>
          <w:kern w:val="0"/>
          <w:sz w:val="28"/>
          <w:szCs w:val="28"/>
        </w:rPr>
      </w:pPr>
      <w:r>
        <w:rPr>
          <w:rFonts w:ascii="Calibri" w:hAnsi="Calibri" w:eastAsia="仿宋" w:cs="Calibri"/>
          <w:bCs/>
          <w:kern w:val="0"/>
          <w:sz w:val="28"/>
          <w:szCs w:val="28"/>
        </w:rPr>
        <w:t> </w:t>
      </w:r>
    </w:p>
    <w:p>
      <w:pPr>
        <w:widowControl/>
        <w:jc w:val="left"/>
        <w:rPr>
          <w:rFonts w:ascii="Calibri" w:hAnsi="Calibri" w:eastAsia="仿宋" w:cs="Calibri"/>
          <w:bCs/>
          <w:kern w:val="0"/>
          <w:sz w:val="28"/>
          <w:szCs w:val="28"/>
        </w:rPr>
      </w:pPr>
      <w:r>
        <w:rPr>
          <w:rFonts w:ascii="Calibri" w:hAnsi="Calibri" w:eastAsia="仿宋" w:cs="Calibri"/>
          <w:bCs/>
          <w:kern w:val="0"/>
          <w:sz w:val="28"/>
          <w:szCs w:val="28"/>
        </w:rPr>
        <w:br w:type="page"/>
      </w:r>
    </w:p>
    <w:p>
      <w:pPr>
        <w:widowControl/>
        <w:spacing w:line="560" w:lineRule="exact"/>
        <w:jc w:val="left"/>
        <w:rPr>
          <w:rFonts w:ascii="仿宋" w:hAnsi="仿宋" w:eastAsia="仿宋" w:cs="仿宋"/>
          <w:bCs/>
          <w:kern w:val="0"/>
          <w:sz w:val="28"/>
          <w:szCs w:val="28"/>
        </w:rPr>
      </w:pPr>
      <w:r>
        <w:rPr>
          <w:rFonts w:hint="eastAsia" w:ascii="仿宋" w:hAnsi="仿宋" w:eastAsia="仿宋" w:cs="仿宋"/>
          <w:bCs/>
          <w:kern w:val="0"/>
          <w:sz w:val="28"/>
          <w:szCs w:val="28"/>
        </w:rPr>
        <w:t>附件1《北京交通大学2024年硕士研究生复试、调剂流程》。</w:t>
      </w:r>
    </w:p>
    <w:p>
      <w:pPr>
        <w:spacing w:before="312" w:beforeLines="100" w:after="312" w:afterLines="100" w:line="360" w:lineRule="auto"/>
        <w:jc w:val="center"/>
        <w:rPr>
          <w:rFonts w:ascii="仿宋" w:hAnsi="仿宋" w:eastAsia="仿宋"/>
          <w:b/>
          <w:spacing w:val="-2"/>
          <w:sz w:val="36"/>
          <w:szCs w:val="36"/>
        </w:rPr>
      </w:pPr>
      <w:bookmarkStart w:id="1" w:name="_Hlk98511113"/>
      <w:r>
        <w:rPr>
          <w:rFonts w:hint="eastAsia" w:ascii="仿宋" w:hAnsi="仿宋" w:eastAsia="仿宋"/>
          <w:b/>
          <w:spacing w:val="-2"/>
          <w:sz w:val="36"/>
          <w:szCs w:val="36"/>
        </w:rPr>
        <w:t>北京交通大学2024年硕士研究生复试、调剂流程</w:t>
      </w:r>
    </w:p>
    <w:p>
      <w:pPr>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一、网上签订承诺书、补全信息、上传材料、缴费</w:t>
      </w:r>
    </w:p>
    <w:p>
      <w:pPr>
        <w:spacing w:line="360" w:lineRule="auto"/>
        <w:ind w:firstLine="480" w:firstLineChars="200"/>
        <w:rPr>
          <w:rFonts w:ascii="仿宋" w:hAnsi="仿宋" w:eastAsia="仿宋"/>
          <w:sz w:val="24"/>
        </w:rPr>
      </w:pPr>
      <w:r>
        <w:rPr>
          <w:rFonts w:hint="eastAsia" w:ascii="仿宋" w:hAnsi="仿宋" w:eastAsia="仿宋"/>
          <w:sz w:val="24"/>
        </w:rPr>
        <w:t>1. 查看复试通知：登录北京交通大学研究生院招生专题网站（</w:t>
      </w:r>
      <w:r>
        <w:rPr>
          <w:rFonts w:ascii="仿宋" w:hAnsi="仿宋" w:eastAsia="仿宋"/>
          <w:sz w:val="24"/>
        </w:rPr>
        <w:t>http://gs.bjtu.edu.cn/cms/zszt/</w:t>
      </w:r>
      <w:r>
        <w:rPr>
          <w:rFonts w:hint="eastAsia" w:ascii="仿宋" w:hAnsi="仿宋" w:eastAsia="仿宋"/>
          <w:sz w:val="24"/>
        </w:rPr>
        <w:t>）——进入信息系统的“硕士招生”——进入“硕士复试录取”模块（</w:t>
      </w:r>
      <w:r>
        <w:rPr>
          <w:rFonts w:ascii="仿宋" w:hAnsi="仿宋" w:eastAsia="仿宋"/>
          <w:sz w:val="24"/>
        </w:rPr>
        <w:t>3</w:t>
      </w:r>
      <w:r>
        <w:rPr>
          <w:rFonts w:hint="eastAsia" w:ascii="仿宋" w:hAnsi="仿宋" w:eastAsia="仿宋"/>
          <w:sz w:val="24"/>
        </w:rPr>
        <w:t>月</w:t>
      </w:r>
      <w:r>
        <w:rPr>
          <w:rFonts w:ascii="仿宋" w:hAnsi="仿宋" w:eastAsia="仿宋"/>
          <w:sz w:val="24"/>
        </w:rPr>
        <w:t>23</w:t>
      </w:r>
      <w:r>
        <w:rPr>
          <w:rFonts w:hint="eastAsia" w:ascii="仿宋" w:hAnsi="仿宋" w:eastAsia="仿宋"/>
          <w:sz w:val="24"/>
        </w:rPr>
        <w:t>日开放），查看是否收到复试通知。</w:t>
      </w:r>
    </w:p>
    <w:p>
      <w:pPr>
        <w:spacing w:line="360" w:lineRule="auto"/>
        <w:ind w:firstLine="480" w:firstLineChars="200"/>
        <w:rPr>
          <w:rFonts w:ascii="仿宋" w:hAnsi="仿宋" w:eastAsia="仿宋"/>
          <w:sz w:val="24"/>
        </w:rPr>
      </w:pPr>
      <w:r>
        <w:rPr>
          <w:rFonts w:hint="eastAsia" w:ascii="仿宋" w:hAnsi="仿宋" w:eastAsia="仿宋"/>
          <w:sz w:val="24"/>
        </w:rPr>
        <w:t>登录系统步骤：</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登录系统：考生以用户名（身份证号）和初始密码（在中国研究生招生信息网上填写的姓名拼音，区分大小写）登录系统；</w:t>
      </w:r>
    </w:p>
    <w:p>
      <w:pPr>
        <w:spacing w:line="360" w:lineRule="auto"/>
        <w:ind w:firstLine="480" w:firstLineChars="200"/>
        <w:rPr>
          <w:b/>
          <w:bCs/>
          <w:sz w:val="24"/>
        </w:rPr>
      </w:pPr>
      <w:r>
        <w:rPr>
          <w:rFonts w:hint="eastAsia" w:ascii="仿宋" w:hAnsi="仿宋" w:eastAsia="仿宋"/>
          <w:b/>
          <w:bCs/>
          <w:sz w:val="24"/>
        </w:rPr>
        <w:t>（注意：登陆失败的原因为初始密码输入的姓名拼音与研招网报名时填写时不一致，区分大小写。）</w:t>
      </w:r>
      <w:r>
        <w:rPr>
          <w:b/>
          <w:bCs/>
          <w:sz w:val="24"/>
        </w:rPr>
        <w:t xml:space="preserve">  </w:t>
      </w:r>
    </w:p>
    <w:p>
      <w:pPr>
        <w:spacing w:line="360" w:lineRule="auto"/>
        <w:ind w:firstLine="480" w:firstLineChars="200"/>
        <w:rPr>
          <w:sz w:val="24"/>
        </w:rPr>
      </w:pPr>
      <w:r>
        <w:rPr>
          <w:b/>
          <w:bCs/>
          <w:sz w:val="24"/>
        </w:rPr>
        <w:t xml:space="preserve">  </w:t>
      </w:r>
      <w:r>
        <w:drawing>
          <wp:inline distT="0" distB="0" distL="0" distR="0">
            <wp:extent cx="5274310" cy="2251075"/>
            <wp:effectExtent l="0" t="0" r="1397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5274310" cy="2251075"/>
                    </a:xfrm>
                    <a:prstGeom prst="rect">
                      <a:avLst/>
                    </a:prstGeom>
                  </pic:spPr>
                </pic:pic>
              </a:graphicData>
            </a:graphic>
          </wp:inline>
        </w:drawing>
      </w:r>
    </w:p>
    <w:p>
      <w:pPr>
        <w:spacing w:line="360" w:lineRule="auto"/>
        <w:rPr>
          <w:sz w:val="24"/>
        </w:rPr>
      </w:pP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核实信息：</w:t>
      </w:r>
      <w:r>
        <w:rPr>
          <w:rFonts w:ascii="仿宋" w:hAnsi="仿宋" w:eastAsia="仿宋"/>
          <w:sz w:val="24"/>
        </w:rPr>
        <w:t>输入</w:t>
      </w:r>
      <w:r>
        <w:fldChar w:fldCharType="begin"/>
      </w:r>
      <w:r>
        <w:instrText xml:space="preserve"> HYPERLINK "http://yz.chsi.com.cn/" \t "_blank" </w:instrText>
      </w:r>
      <w:r>
        <w:fldChar w:fldCharType="separate"/>
      </w:r>
      <w:r>
        <w:rPr>
          <w:rFonts w:hint="eastAsia" w:ascii="仿宋" w:hAnsi="仿宋" w:eastAsia="仿宋"/>
          <w:sz w:val="24"/>
        </w:rPr>
        <w:t>在</w:t>
      </w:r>
      <w:r>
        <w:rPr>
          <w:rFonts w:ascii="仿宋" w:hAnsi="仿宋" w:eastAsia="仿宋"/>
          <w:sz w:val="24"/>
        </w:rPr>
        <w:t>中国研究生招生信息网</w:t>
      </w:r>
      <w:r>
        <w:rPr>
          <w:rFonts w:ascii="仿宋" w:hAnsi="仿宋" w:eastAsia="仿宋"/>
          <w:sz w:val="24"/>
        </w:rPr>
        <w:fldChar w:fldCharType="end"/>
      </w:r>
      <w:r>
        <w:rPr>
          <w:rFonts w:ascii="仿宋" w:hAnsi="仿宋" w:eastAsia="仿宋"/>
          <w:sz w:val="24"/>
        </w:rPr>
        <w:t>上报名时填写的手机号与电子邮箱，验证是否本人</w:t>
      </w:r>
      <w:r>
        <w:rPr>
          <w:rFonts w:hint="eastAsia" w:ascii="仿宋" w:hAnsi="仿宋" w:eastAsia="仿宋"/>
          <w:sz w:val="24"/>
        </w:rPr>
        <w:t>；</w:t>
      </w:r>
    </w:p>
    <w:p>
      <w:pPr>
        <w:spacing w:line="360" w:lineRule="auto"/>
        <w:ind w:firstLine="480" w:firstLineChars="200"/>
        <w:rPr>
          <w:rFonts w:ascii="仿宋" w:hAnsi="仿宋" w:eastAsia="仿宋"/>
          <w:b/>
          <w:bCs/>
          <w:sz w:val="24"/>
        </w:rPr>
      </w:pPr>
      <w:r>
        <w:rPr>
          <w:rFonts w:hint="eastAsia" w:ascii="仿宋" w:hAnsi="仿宋" w:eastAsia="仿宋"/>
          <w:b/>
          <w:bCs/>
          <w:sz w:val="24"/>
        </w:rPr>
        <w:t>（注意：验证失败的原因为输入的移动电话或电子邮箱与研招网报名时填写的不一致）</w:t>
      </w:r>
    </w:p>
    <w:p>
      <w:pPr>
        <w:spacing w:line="360" w:lineRule="auto"/>
        <w:ind w:left="420" w:leftChars="200"/>
        <w:rPr>
          <w:sz w:val="24"/>
        </w:rPr>
      </w:pPr>
      <w:r>
        <w:drawing>
          <wp:inline distT="0" distB="0" distL="0" distR="0">
            <wp:extent cx="4962525" cy="2676525"/>
            <wp:effectExtent l="0" t="0" r="57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srcRect/>
                    <a:stretch>
                      <a:fillRect/>
                    </a:stretch>
                  </pic:blipFill>
                  <pic:spPr>
                    <a:xfrm>
                      <a:off x="0" y="0"/>
                      <a:ext cx="4968983" cy="2680008"/>
                    </a:xfrm>
                    <a:prstGeom prst="rect">
                      <a:avLst/>
                    </a:prstGeom>
                    <a:noFill/>
                    <a:ln w="9525">
                      <a:noFill/>
                      <a:miter lim="800000"/>
                      <a:headEnd/>
                      <a:tailEnd/>
                    </a:ln>
                    <a:effectLst/>
                  </pic:spPr>
                </pic:pic>
              </a:graphicData>
            </a:graphic>
          </wp:inline>
        </w:drawing>
      </w:r>
    </w:p>
    <w:p>
      <w:pPr>
        <w:spacing w:line="360" w:lineRule="auto"/>
        <w:ind w:firstLine="480" w:firstLineChars="200"/>
        <w:rPr>
          <w:rFonts w:ascii="仿宋" w:hAnsi="仿宋" w:eastAsia="仿宋"/>
          <w:sz w:val="24"/>
        </w:rPr>
      </w:pPr>
      <w:r>
        <w:rPr>
          <w:rFonts w:hint="eastAsia" w:ascii="仿宋" w:hAnsi="仿宋" w:eastAsia="仿宋"/>
          <w:sz w:val="24"/>
        </w:rPr>
        <w:t>（3）设置新密码：为保护您的个人信息请及时设置新密码，如果忘记密码，点击登录页面中的“忘记密码？”填写个人信息重置密码。</w:t>
      </w:r>
    </w:p>
    <w:p>
      <w:pPr>
        <w:spacing w:line="360" w:lineRule="auto"/>
        <w:ind w:firstLine="420"/>
        <w:rPr>
          <w:sz w:val="24"/>
        </w:rPr>
      </w:pPr>
      <w:r>
        <w:drawing>
          <wp:inline distT="0" distB="0" distL="0" distR="0">
            <wp:extent cx="5067300" cy="251841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srcRect/>
                    <a:stretch>
                      <a:fillRect/>
                    </a:stretch>
                  </pic:blipFill>
                  <pic:spPr>
                    <a:xfrm>
                      <a:off x="0" y="0"/>
                      <a:ext cx="5070314" cy="2519977"/>
                    </a:xfrm>
                    <a:prstGeom prst="rect">
                      <a:avLst/>
                    </a:prstGeom>
                    <a:noFill/>
                    <a:ln w="9525">
                      <a:noFill/>
                      <a:miter lim="800000"/>
                      <a:headEnd/>
                      <a:tailEnd/>
                    </a:ln>
                  </pic:spPr>
                </pic:pic>
              </a:graphicData>
            </a:graphic>
          </wp:inline>
        </w:drawing>
      </w:r>
    </w:p>
    <w:p>
      <w:pPr>
        <w:spacing w:line="360" w:lineRule="auto"/>
        <w:ind w:firstLine="600" w:firstLineChars="25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阅读并同意《北京交通大学2024年硕士研究生复试诚信承诺书》、《北京交通大学2024年硕士研究生复试考场规则》。</w:t>
      </w:r>
    </w:p>
    <w:p>
      <w:pPr>
        <w:spacing w:line="360" w:lineRule="auto"/>
        <w:ind w:left="420" w:leftChars="200"/>
        <w:rPr>
          <w:sz w:val="24"/>
        </w:rPr>
      </w:pPr>
      <w:r>
        <w:rPr>
          <w:sz w:val="24"/>
        </w:rPr>
        <w:drawing>
          <wp:inline distT="0" distB="0" distL="0" distR="0">
            <wp:extent cx="5274310" cy="2234565"/>
            <wp:effectExtent l="0" t="0" r="13970" b="5715"/>
            <wp:docPr id="1" name="图片 1" descr="D:\2024复试\复试承诺书系统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4复试\复试承诺书系统截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235048"/>
                    </a:xfrm>
                    <a:prstGeom prst="rect">
                      <a:avLst/>
                    </a:prstGeom>
                    <a:noFill/>
                    <a:ln>
                      <a:noFill/>
                    </a:ln>
                  </pic:spPr>
                </pic:pic>
              </a:graphicData>
            </a:graphic>
          </wp:inline>
        </w:drawing>
      </w:r>
    </w:p>
    <w:p>
      <w:pPr>
        <w:spacing w:line="360" w:lineRule="auto"/>
        <w:rPr>
          <w:sz w:val="24"/>
        </w:rPr>
      </w:pPr>
    </w:p>
    <w:p>
      <w:pPr>
        <w:spacing w:line="360" w:lineRule="auto"/>
        <w:ind w:firstLine="480" w:firstLineChars="200"/>
        <w:rPr>
          <w:rFonts w:ascii="仿宋" w:hAnsi="仿宋" w:eastAsia="仿宋"/>
          <w:sz w:val="24"/>
        </w:rPr>
      </w:pPr>
      <w:r>
        <w:rPr>
          <w:rFonts w:hint="eastAsia" w:ascii="仿宋" w:hAnsi="仿宋" w:eastAsia="仿宋"/>
          <w:sz w:val="24"/>
        </w:rPr>
        <w:t>3. 补全信息：</w:t>
      </w:r>
      <w:r>
        <w:rPr>
          <w:rFonts w:ascii="仿宋" w:hAnsi="仿宋" w:eastAsia="仿宋"/>
          <w:sz w:val="24"/>
        </w:rPr>
        <w:t>参加复试前须将信息补充完整</w:t>
      </w:r>
      <w:r>
        <w:rPr>
          <w:rFonts w:hint="eastAsia" w:ascii="仿宋" w:hAnsi="仿宋" w:eastAsia="仿宋"/>
          <w:sz w:val="24"/>
        </w:rPr>
        <w:t>。</w:t>
      </w:r>
    </w:p>
    <w:p>
      <w:pPr>
        <w:spacing w:line="360" w:lineRule="auto"/>
        <w:ind w:firstLine="420"/>
      </w:pPr>
      <w:r>
        <w:drawing>
          <wp:inline distT="0" distB="0" distL="114300" distR="114300">
            <wp:extent cx="5268595" cy="2230755"/>
            <wp:effectExtent l="0" t="0" r="444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8595" cy="2230755"/>
                    </a:xfrm>
                    <a:prstGeom prst="rect">
                      <a:avLst/>
                    </a:prstGeom>
                    <a:noFill/>
                    <a:ln>
                      <a:noFill/>
                    </a:ln>
                  </pic:spPr>
                </pic:pic>
              </a:graphicData>
            </a:graphic>
          </wp:inline>
        </w:drawing>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  4</w:t>
      </w:r>
      <w:r>
        <w:rPr>
          <w:rFonts w:ascii="仿宋" w:hAnsi="仿宋" w:eastAsia="仿宋"/>
          <w:sz w:val="24"/>
        </w:rPr>
        <w:t>.</w:t>
      </w:r>
      <w:r>
        <w:rPr>
          <w:rFonts w:hint="eastAsia" w:ascii="仿宋" w:hAnsi="仿宋" w:eastAsia="仿宋"/>
          <w:sz w:val="24"/>
        </w:rPr>
        <w:t xml:space="preserve"> 核对信息：</w:t>
      </w:r>
      <w:r>
        <w:rPr>
          <w:rFonts w:ascii="仿宋" w:hAnsi="仿宋" w:eastAsia="仿宋"/>
          <w:sz w:val="24"/>
        </w:rPr>
        <w:t>核实信息后点击确认，注意确认之后信息不能修改</w:t>
      </w:r>
      <w:r>
        <w:rPr>
          <w:rFonts w:hint="eastAsia" w:ascii="仿宋" w:hAnsi="仿宋" w:eastAsia="仿宋"/>
          <w:sz w:val="24"/>
        </w:rPr>
        <w:t>。</w:t>
      </w:r>
    </w:p>
    <w:p>
      <w:pPr>
        <w:spacing w:line="360" w:lineRule="auto"/>
        <w:ind w:left="420" w:leftChars="200"/>
        <w:rPr>
          <w:sz w:val="24"/>
        </w:rPr>
      </w:pPr>
      <w:r>
        <w:drawing>
          <wp:inline distT="0" distB="0" distL="0" distR="0">
            <wp:extent cx="5295265" cy="2810510"/>
            <wp:effectExtent l="0" t="0" r="8255" b="889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0" cstate="print"/>
                    <a:srcRect/>
                    <a:stretch>
                      <a:fillRect/>
                    </a:stretch>
                  </pic:blipFill>
                  <pic:spPr>
                    <a:xfrm>
                      <a:off x="0" y="0"/>
                      <a:ext cx="5295265" cy="2810510"/>
                    </a:xfrm>
                    <a:prstGeom prst="rect">
                      <a:avLst/>
                    </a:prstGeom>
                    <a:noFill/>
                    <a:ln w="9525">
                      <a:noFill/>
                      <a:miter lim="800000"/>
                      <a:headEnd/>
                      <a:tailEnd/>
                    </a:ln>
                  </pic:spPr>
                </pic:pic>
              </a:graphicData>
            </a:graphic>
          </wp:inline>
        </w:drawing>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 </w:t>
      </w:r>
      <w:r>
        <w:rPr>
          <w:rFonts w:hint="eastAsia" w:ascii="仿宋" w:hAnsi="仿宋" w:eastAsia="仿宋"/>
          <w:sz w:val="24"/>
        </w:rPr>
        <w:t>复试与调剂：查看“复试与调剂”列表，点击“通知公告”后，可以查看复试通知；收到复试通知的考生请点击“确定复试”。</w:t>
      </w:r>
    </w:p>
    <w:p>
      <w:pPr>
        <w:spacing w:line="360" w:lineRule="auto"/>
        <w:ind w:left="420" w:leftChars="200"/>
      </w:pPr>
      <w:r>
        <w:drawing>
          <wp:inline distT="0" distB="0" distL="0" distR="0">
            <wp:extent cx="4943475" cy="2066925"/>
            <wp:effectExtent l="0" t="0" r="9525" b="571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1" cstate="print"/>
                    <a:srcRect/>
                    <a:stretch>
                      <a:fillRect/>
                    </a:stretch>
                  </pic:blipFill>
                  <pic:spPr>
                    <a:xfrm>
                      <a:off x="0" y="0"/>
                      <a:ext cx="4952547" cy="2070718"/>
                    </a:xfrm>
                    <a:prstGeom prst="rect">
                      <a:avLst/>
                    </a:prstGeom>
                    <a:noFill/>
                    <a:ln w="9525">
                      <a:noFill/>
                      <a:miter lim="800000"/>
                      <a:headEnd/>
                      <a:tailEnd/>
                    </a:ln>
                  </pic:spPr>
                </pic:pic>
              </a:graphicData>
            </a:graphic>
          </wp:inline>
        </w:drawing>
      </w:r>
    </w:p>
    <w:p>
      <w:pPr>
        <w:spacing w:line="360" w:lineRule="auto"/>
        <w:ind w:left="420" w:leftChars="200"/>
      </w:pPr>
      <w:r>
        <w:drawing>
          <wp:inline distT="0" distB="0" distL="0" distR="0">
            <wp:extent cx="4962525" cy="2047240"/>
            <wp:effectExtent l="0" t="0" r="5715" b="1016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12" cstate="print"/>
                    <a:srcRect/>
                    <a:stretch>
                      <a:fillRect/>
                    </a:stretch>
                  </pic:blipFill>
                  <pic:spPr>
                    <a:xfrm>
                      <a:off x="0" y="0"/>
                      <a:ext cx="4962525" cy="2047320"/>
                    </a:xfrm>
                    <a:prstGeom prst="rect">
                      <a:avLst/>
                    </a:prstGeom>
                    <a:noFill/>
                    <a:ln w="9525">
                      <a:noFill/>
                      <a:miter lim="800000"/>
                      <a:headEnd/>
                      <a:tailEnd/>
                    </a:ln>
                  </pic:spPr>
                </pic:pic>
              </a:graphicData>
            </a:graphic>
          </wp:inline>
        </w:drawing>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 xml:space="preserve">. </w:t>
      </w:r>
      <w:r>
        <w:rPr>
          <w:rFonts w:hint="eastAsia" w:ascii="仿宋" w:hAnsi="仿宋" w:eastAsia="仿宋"/>
          <w:sz w:val="24"/>
        </w:rPr>
        <w:t>缴纳复试费：收到复试通知的考生需要</w:t>
      </w:r>
      <w:r>
        <w:rPr>
          <w:rFonts w:ascii="仿宋" w:hAnsi="仿宋" w:eastAsia="仿宋"/>
          <w:sz w:val="24"/>
        </w:rPr>
        <w:t>通过本系统缴纳复试费</w:t>
      </w:r>
      <w:r>
        <w:rPr>
          <w:rFonts w:hint="eastAsia" w:ascii="仿宋" w:hAnsi="仿宋" w:eastAsia="仿宋"/>
          <w:sz w:val="24"/>
        </w:rPr>
        <w:t>，交费成功后下载</w:t>
      </w:r>
      <w:r>
        <w:rPr>
          <w:rFonts w:ascii="仿宋" w:hAnsi="仿宋" w:eastAsia="仿宋"/>
          <w:sz w:val="24"/>
        </w:rPr>
        <w:t>个人陈述表</w:t>
      </w:r>
      <w:r>
        <w:rPr>
          <w:rFonts w:hint="eastAsia" w:ascii="仿宋" w:hAnsi="仿宋" w:eastAsia="仿宋"/>
          <w:sz w:val="24"/>
        </w:rPr>
        <w:t>、</w:t>
      </w:r>
      <w:r>
        <w:rPr>
          <w:rFonts w:ascii="仿宋" w:hAnsi="仿宋" w:eastAsia="仿宋"/>
          <w:sz w:val="24"/>
        </w:rPr>
        <w:t>复试登记表</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考生可选择“一网通”支付方式，选择“一网通”支付方式需要提前下载招商银行APP或注册“一网通”，支付时可用微信、支付宝或招商银行APP扫码支付（支持数十家银行卡）。</w:t>
      </w:r>
    </w:p>
    <w:p>
      <w:pPr>
        <w:spacing w:line="360" w:lineRule="auto"/>
        <w:ind w:firstLine="480" w:firstLineChars="200"/>
        <w:rPr>
          <w:rFonts w:ascii="仿宋" w:hAnsi="仿宋" w:eastAsia="仿宋"/>
          <w:b/>
          <w:bCs/>
          <w:sz w:val="24"/>
        </w:rPr>
      </w:pPr>
      <w:r>
        <w:rPr>
          <w:rFonts w:hint="eastAsia" w:ascii="仿宋" w:hAnsi="仿宋" w:eastAsia="仿宋"/>
          <w:b/>
          <w:bCs/>
          <w:sz w:val="24"/>
        </w:rPr>
        <w:t>（注意：收到复试通知，并点击“确认复试”后才能缴费。参加同一学院的多次复试只需缴纳一次复试费，参加多个学院的复试需要分别缴纳复试费。）</w:t>
      </w:r>
    </w:p>
    <w:p>
      <w:pPr>
        <w:spacing w:line="360" w:lineRule="auto"/>
        <w:ind w:firstLine="480" w:firstLineChars="200"/>
        <w:rPr>
          <w:rFonts w:ascii="仿宋" w:hAnsi="仿宋" w:eastAsia="仿宋"/>
          <w:b/>
          <w:bCs/>
          <w:sz w:val="24"/>
        </w:rPr>
      </w:pPr>
    </w:p>
    <w:p>
      <w:pPr>
        <w:spacing w:line="360" w:lineRule="auto"/>
        <w:ind w:firstLine="420" w:firstLineChars="200"/>
        <w:rPr>
          <w:b/>
          <w:bCs/>
          <w:sz w:val="24"/>
        </w:rPr>
      </w:pPr>
      <w:r>
        <w:drawing>
          <wp:inline distT="0" distB="0" distL="0" distR="0">
            <wp:extent cx="5274310" cy="2505075"/>
            <wp:effectExtent l="0" t="0" r="1397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74310" cy="2505075"/>
                    </a:xfrm>
                    <a:prstGeom prst="rect">
                      <a:avLst/>
                    </a:prstGeom>
                  </pic:spPr>
                </pic:pic>
              </a:graphicData>
            </a:graphic>
          </wp:inline>
        </w:drawing>
      </w:r>
    </w:p>
    <w:p>
      <w:pPr>
        <w:spacing w:line="360" w:lineRule="auto"/>
        <w:ind w:firstLine="480" w:firstLineChars="200"/>
        <w:rPr>
          <w:b/>
          <w:bCs/>
          <w:sz w:val="24"/>
        </w:rPr>
      </w:pPr>
    </w:p>
    <w:p>
      <w:pPr>
        <w:spacing w:line="360" w:lineRule="auto"/>
        <w:ind w:firstLine="420" w:firstLineChars="200"/>
        <w:rPr>
          <w:b/>
          <w:bCs/>
          <w:sz w:val="24"/>
        </w:rPr>
      </w:pPr>
      <w:r>
        <w:drawing>
          <wp:inline distT="0" distB="0" distL="0" distR="0">
            <wp:extent cx="5274310" cy="2505075"/>
            <wp:effectExtent l="0" t="0" r="1397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74310" cy="2505075"/>
                    </a:xfrm>
                    <a:prstGeom prst="rect">
                      <a:avLst/>
                    </a:prstGeom>
                  </pic:spPr>
                </pic:pic>
              </a:graphicData>
            </a:graphic>
          </wp:inline>
        </w:drawing>
      </w:r>
    </w:p>
    <w:p>
      <w:pPr>
        <w:spacing w:line="360" w:lineRule="auto"/>
        <w:ind w:left="420" w:leftChars="200"/>
      </w:pPr>
    </w:p>
    <w:p>
      <w:pPr>
        <w:spacing w:line="360" w:lineRule="auto"/>
        <w:ind w:left="420" w:leftChars="200"/>
      </w:pPr>
      <w:r>
        <w:drawing>
          <wp:inline distT="0" distB="0" distL="0" distR="0">
            <wp:extent cx="5274310" cy="2505075"/>
            <wp:effectExtent l="0" t="0" r="1397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274310" cy="2505075"/>
                    </a:xfrm>
                    <a:prstGeom prst="rect">
                      <a:avLst/>
                    </a:prstGeom>
                  </pic:spPr>
                </pic:pic>
              </a:graphicData>
            </a:graphic>
          </wp:inline>
        </w:drawing>
      </w:r>
    </w:p>
    <w:p>
      <w:pPr>
        <w:spacing w:line="360" w:lineRule="auto"/>
        <w:rPr>
          <w:b/>
          <w:sz w:val="28"/>
          <w:szCs w:val="28"/>
        </w:rPr>
      </w:pPr>
    </w:p>
    <w:p>
      <w:pPr>
        <w:spacing w:line="360" w:lineRule="auto"/>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二、参加资格审核、复试</w:t>
      </w:r>
    </w:p>
    <w:p>
      <w:pPr>
        <w:spacing w:line="360" w:lineRule="auto"/>
        <w:ind w:firstLine="480"/>
        <w:rPr>
          <w:rFonts w:ascii="仿宋" w:hAnsi="仿宋" w:eastAsia="仿宋"/>
          <w:b/>
          <w:sz w:val="28"/>
          <w:szCs w:val="28"/>
        </w:rPr>
      </w:pPr>
      <w:r>
        <w:rPr>
          <w:rFonts w:hint="eastAsia" w:ascii="仿宋" w:hAnsi="仿宋" w:eastAsia="仿宋"/>
          <w:sz w:val="24"/>
        </w:rPr>
        <w:t>考生携带资格审核需要的材料、个人陈述表、复试登记表，按照各学院的复试安排进行资格审核和复试。</w:t>
      </w:r>
      <w:r>
        <w:rPr>
          <w:rFonts w:ascii="仿宋" w:hAnsi="仿宋" w:eastAsia="仿宋"/>
          <w:b/>
          <w:sz w:val="28"/>
          <w:szCs w:val="28"/>
        </w:rPr>
        <w:t xml:space="preserve">    </w:t>
      </w:r>
    </w:p>
    <w:p>
      <w:pPr>
        <w:spacing w:line="360" w:lineRule="auto"/>
        <w:ind w:firstLine="480"/>
        <w:rPr>
          <w:rFonts w:ascii="仿宋" w:hAnsi="仿宋" w:eastAsia="仿宋"/>
          <w:b/>
          <w:sz w:val="28"/>
          <w:szCs w:val="28"/>
        </w:rPr>
      </w:pPr>
    </w:p>
    <w:p>
      <w:pPr>
        <w:spacing w:line="360" w:lineRule="auto"/>
        <w:ind w:firstLine="560" w:firstLineChars="200"/>
        <w:rPr>
          <w:rFonts w:ascii="仿宋" w:hAnsi="仿宋" w:eastAsia="仿宋"/>
          <w:b/>
          <w:sz w:val="28"/>
          <w:szCs w:val="28"/>
        </w:rPr>
      </w:pPr>
      <w:r>
        <w:rPr>
          <w:rFonts w:hint="eastAsia" w:ascii="仿宋" w:hAnsi="仿宋" w:eastAsia="仿宋"/>
          <w:b/>
          <w:sz w:val="28"/>
          <w:szCs w:val="28"/>
        </w:rPr>
        <w:t>三、查看结果</w:t>
      </w:r>
    </w:p>
    <w:p>
      <w:pPr>
        <w:spacing w:line="360" w:lineRule="auto"/>
        <w:rPr>
          <w:rFonts w:ascii="仿宋" w:hAnsi="仿宋" w:eastAsia="仿宋"/>
          <w:sz w:val="24"/>
        </w:rPr>
      </w:pPr>
      <w:r>
        <w:rPr>
          <w:rFonts w:ascii="仿宋" w:hAnsi="仿宋" w:eastAsia="仿宋"/>
          <w:sz w:val="24"/>
        </w:rPr>
        <w:t xml:space="preserve">    1</w:t>
      </w:r>
      <w:r>
        <w:rPr>
          <w:rFonts w:hint="eastAsia" w:ascii="仿宋" w:hAnsi="仿宋" w:eastAsia="仿宋"/>
          <w:sz w:val="24"/>
        </w:rPr>
        <w:t>. 查看复试成绩：复试结束后，在学院规定的时间登录招生系统查看复试成绩。</w:t>
      </w:r>
    </w:p>
    <w:p>
      <w:pPr>
        <w:spacing w:line="360" w:lineRule="auto"/>
        <w:ind w:firstLine="465"/>
        <w:rPr>
          <w:sz w:val="24"/>
        </w:rPr>
      </w:pPr>
      <w:r>
        <w:drawing>
          <wp:inline distT="0" distB="0" distL="0" distR="0">
            <wp:extent cx="5105400" cy="1849120"/>
            <wp:effectExtent l="0" t="0" r="0" b="1016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16" cstate="print"/>
                    <a:srcRect/>
                    <a:stretch>
                      <a:fillRect/>
                    </a:stretch>
                  </pic:blipFill>
                  <pic:spPr>
                    <a:xfrm>
                      <a:off x="0" y="0"/>
                      <a:ext cx="5105400" cy="1849561"/>
                    </a:xfrm>
                    <a:prstGeom prst="rect">
                      <a:avLst/>
                    </a:prstGeom>
                    <a:noFill/>
                    <a:ln w="9525">
                      <a:noFill/>
                      <a:miter lim="800000"/>
                      <a:headEnd/>
                      <a:tailEnd/>
                    </a:ln>
                  </pic:spPr>
                </pic:pic>
              </a:graphicData>
            </a:graphic>
          </wp:inline>
        </w:drawing>
      </w:r>
    </w:p>
    <w:p>
      <w:pPr>
        <w:spacing w:line="360" w:lineRule="auto"/>
        <w:rPr>
          <w:rFonts w:ascii="仿宋" w:hAnsi="仿宋" w:eastAsia="仿宋"/>
          <w:sz w:val="24"/>
        </w:rPr>
      </w:pPr>
      <w:r>
        <w:rPr>
          <w:sz w:val="24"/>
        </w:rPr>
        <w:t xml:space="preserve">    </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查看录取结果：复试结束后，在学院规定的时间登录学院网站查看拟录取名单。全校拟录取总名单将在研究生院招生专题网站（</w:t>
      </w:r>
      <w:r>
        <w:rPr>
          <w:rFonts w:ascii="仿宋" w:hAnsi="仿宋" w:eastAsia="仿宋"/>
          <w:sz w:val="24"/>
        </w:rPr>
        <w:t>http://gs.bjtu.edu.cn/cms/zszt/</w:t>
      </w:r>
      <w:r>
        <w:rPr>
          <w:rFonts w:hint="eastAsia" w:ascii="仿宋" w:hAnsi="仿宋" w:eastAsia="仿宋"/>
          <w:sz w:val="24"/>
        </w:rPr>
        <w:t>）统一公示。</w:t>
      </w:r>
    </w:p>
    <w:p>
      <w:pPr>
        <w:spacing w:line="360" w:lineRule="auto"/>
        <w:ind w:firstLine="48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拟录取考生请关注研究生招生专题网站（</w:t>
      </w:r>
      <w:r>
        <w:rPr>
          <w:rFonts w:ascii="仿宋" w:hAnsi="仿宋" w:eastAsia="仿宋"/>
          <w:sz w:val="24"/>
        </w:rPr>
        <w:t>http://gs.bjtu.edu.cn/cms/zszt/</w:t>
      </w:r>
      <w:r>
        <w:rPr>
          <w:rFonts w:hint="eastAsia" w:ascii="仿宋" w:hAnsi="仿宋" w:eastAsia="仿宋"/>
          <w:sz w:val="24"/>
        </w:rPr>
        <w:t>）和微信公众号（bjtuyzb）以及各学院网站发布的消息，办理后续调档、政审及邮寄录取通知书等事项。</w:t>
      </w:r>
    </w:p>
    <w:p>
      <w:pPr>
        <w:spacing w:line="360" w:lineRule="auto"/>
        <w:ind w:firstLine="480"/>
        <w:rPr>
          <w:rFonts w:ascii="仿宋" w:hAnsi="仿宋" w:eastAsia="仿宋"/>
          <w:sz w:val="24"/>
        </w:rPr>
      </w:pPr>
    </w:p>
    <w:p>
      <w:pPr>
        <w:spacing w:line="360" w:lineRule="auto"/>
        <w:rPr>
          <w:rFonts w:ascii="仿宋" w:hAnsi="仿宋" w:eastAsia="仿宋"/>
          <w:b/>
          <w:sz w:val="28"/>
          <w:szCs w:val="28"/>
        </w:rPr>
      </w:pPr>
      <w:r>
        <w:rPr>
          <w:b/>
          <w:sz w:val="28"/>
          <w:szCs w:val="28"/>
        </w:rPr>
        <w:t xml:space="preserve">    </w:t>
      </w:r>
      <w:r>
        <w:rPr>
          <w:rFonts w:hint="eastAsia" w:ascii="仿宋" w:hAnsi="仿宋" w:eastAsia="仿宋"/>
          <w:b/>
          <w:sz w:val="28"/>
          <w:szCs w:val="28"/>
        </w:rPr>
        <w:t>四、调剂流程</w:t>
      </w:r>
    </w:p>
    <w:p>
      <w:pPr>
        <w:spacing w:line="360" w:lineRule="auto"/>
        <w:rPr>
          <w:rFonts w:ascii="仿宋" w:hAnsi="仿宋" w:eastAsia="仿宋"/>
          <w:b/>
          <w:sz w:val="24"/>
        </w:rPr>
      </w:pPr>
      <w:r>
        <w:rPr>
          <w:rFonts w:ascii="仿宋" w:hAnsi="仿宋" w:eastAsia="仿宋"/>
          <w:b/>
          <w:sz w:val="24"/>
        </w:rPr>
        <w:t xml:space="preserve">    </w:t>
      </w:r>
      <w:r>
        <w:rPr>
          <w:rFonts w:hint="eastAsia" w:ascii="仿宋" w:hAnsi="仿宋" w:eastAsia="仿宋"/>
          <w:b/>
          <w:sz w:val="24"/>
        </w:rPr>
        <w:t>1．调入流程（含校外调入和校内调剂）</w:t>
      </w:r>
    </w:p>
    <w:p>
      <w:pPr>
        <w:spacing w:line="360" w:lineRule="auto"/>
        <w:ind w:firstLine="480" w:firstLineChars="200"/>
        <w:rPr>
          <w:rFonts w:ascii="仿宋" w:hAnsi="仿宋" w:eastAsia="仿宋"/>
          <w:sz w:val="24"/>
        </w:rPr>
      </w:pPr>
      <w:r>
        <w:rPr>
          <w:rFonts w:hint="eastAsia" w:ascii="仿宋" w:hAnsi="仿宋" w:eastAsia="仿宋"/>
          <w:sz w:val="24"/>
        </w:rPr>
        <w:t>（1）考生登录学院网站查询接收调剂专业、调剂要求、调剂系统开放时间、复试流程等信息；</w:t>
      </w:r>
    </w:p>
    <w:p>
      <w:pPr>
        <w:spacing w:line="360" w:lineRule="auto"/>
        <w:ind w:firstLine="480" w:firstLineChars="200"/>
        <w:rPr>
          <w:rFonts w:ascii="仿宋" w:hAnsi="仿宋" w:eastAsia="仿宋"/>
          <w:sz w:val="24"/>
        </w:rPr>
      </w:pPr>
      <w:r>
        <w:rPr>
          <w:rFonts w:hint="eastAsia" w:ascii="仿宋" w:hAnsi="仿宋" w:eastAsia="仿宋"/>
          <w:sz w:val="24"/>
        </w:rPr>
        <w:t>（2）符合调剂要求的考生在调剂系统开放时间内登录研招网</w:t>
      </w:r>
      <w:r>
        <w:rPr>
          <w:rFonts w:ascii="仿宋" w:hAnsi="仿宋" w:eastAsia="仿宋" w:cs="宋体"/>
          <w:sz w:val="24"/>
        </w:rPr>
        <w:t>https://yz.chsi.com.cn/</w:t>
      </w:r>
      <w:r>
        <w:rPr>
          <w:rFonts w:hint="eastAsia" w:ascii="仿宋" w:hAnsi="仿宋" w:eastAsia="仿宋"/>
          <w:sz w:val="24"/>
        </w:rPr>
        <w:t>填报调剂志愿；</w:t>
      </w:r>
    </w:p>
    <w:p>
      <w:pPr>
        <w:spacing w:line="360" w:lineRule="auto"/>
        <w:ind w:firstLine="480" w:firstLineChars="200"/>
        <w:rPr>
          <w:rFonts w:ascii="仿宋" w:hAnsi="仿宋" w:eastAsia="仿宋"/>
          <w:sz w:val="24"/>
        </w:rPr>
      </w:pPr>
      <w:r>
        <w:rPr>
          <w:rFonts w:hint="eastAsia" w:ascii="仿宋" w:hAnsi="仿宋" w:eastAsia="仿宋"/>
          <w:sz w:val="24"/>
        </w:rPr>
        <w:t>（3）研招网上收到复试通知后点击“接受复试”，并按照报考专业所在学院的要求进行资格审核及复试；</w:t>
      </w:r>
    </w:p>
    <w:p>
      <w:pPr>
        <w:spacing w:line="360" w:lineRule="auto"/>
        <w:ind w:firstLine="480" w:firstLineChars="200"/>
        <w:rPr>
          <w:rFonts w:ascii="仿宋" w:hAnsi="仿宋" w:eastAsia="仿宋"/>
          <w:sz w:val="24"/>
        </w:rPr>
      </w:pPr>
      <w:r>
        <w:rPr>
          <w:rFonts w:hint="eastAsia" w:ascii="仿宋" w:hAnsi="仿宋" w:eastAsia="仿宋"/>
          <w:sz w:val="24"/>
        </w:rPr>
        <w:t>（4）复试合格后我校在研招网上给考生发送“待录取”通知，考生在规定时间内点击“接受待录取”进行网上确认。</w:t>
      </w:r>
    </w:p>
    <w:p>
      <w:pPr>
        <w:spacing w:line="360" w:lineRule="auto"/>
        <w:ind w:firstLine="480" w:firstLineChars="200"/>
        <w:rPr>
          <w:rFonts w:ascii="仿宋" w:hAnsi="仿宋" w:eastAsia="仿宋"/>
          <w:b/>
        </w:rPr>
      </w:pPr>
      <w:r>
        <w:rPr>
          <w:rFonts w:hint="eastAsia" w:ascii="仿宋" w:hAnsi="仿宋" w:eastAsia="仿宋"/>
          <w:b/>
          <w:sz w:val="24"/>
        </w:rPr>
        <w:t>注：所有调剂考生（含校外调剂、校内调剂以及全日制与非全日制之间的调剂）必须通过研招网“调剂系统”进行，未经该系统录取的调剂考生在录取检查中不予认可，请考生务必认真完成研招网上的每一步流程。</w:t>
      </w:r>
    </w:p>
    <w:p>
      <w:pPr>
        <w:spacing w:line="360" w:lineRule="auto"/>
        <w:ind w:firstLine="480" w:firstLineChars="200"/>
        <w:rPr>
          <w:rFonts w:ascii="仿宋" w:hAnsi="仿宋" w:eastAsia="仿宋"/>
          <w:b/>
          <w:sz w:val="24"/>
        </w:rPr>
      </w:pPr>
      <w:r>
        <w:rPr>
          <w:rFonts w:hint="eastAsia" w:ascii="仿宋" w:hAnsi="仿宋" w:eastAsia="仿宋"/>
          <w:b/>
          <w:sz w:val="24"/>
        </w:rPr>
        <w:t xml:space="preserve">2．调出流程： </w:t>
      </w:r>
    </w:p>
    <w:p>
      <w:pPr>
        <w:spacing w:line="360" w:lineRule="auto"/>
        <w:ind w:firstLine="480" w:firstLineChars="200"/>
        <w:rPr>
          <w:rFonts w:ascii="仿宋" w:hAnsi="仿宋" w:eastAsia="仿宋"/>
          <w:sz w:val="24"/>
        </w:rPr>
      </w:pPr>
      <w:r>
        <w:rPr>
          <w:rFonts w:hint="eastAsia" w:ascii="仿宋" w:hAnsi="仿宋" w:eastAsia="仿宋"/>
          <w:sz w:val="24"/>
        </w:rPr>
        <w:t>（1）考生登录研招网</w:t>
      </w:r>
      <w:r>
        <w:rPr>
          <w:rFonts w:ascii="仿宋" w:hAnsi="仿宋" w:eastAsia="仿宋" w:cs="宋体"/>
          <w:sz w:val="24"/>
        </w:rPr>
        <w:t>https://yz.chsi.com.cn/</w:t>
      </w:r>
      <w:r>
        <w:rPr>
          <w:rFonts w:hint="eastAsia" w:ascii="仿宋" w:hAnsi="仿宋" w:eastAsia="仿宋" w:cs="宋体"/>
          <w:sz w:val="24"/>
        </w:rPr>
        <w:t>填报其他招生单位调剂志愿</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（2）得到调剂单位复试通知后参加其调剂复试；</w:t>
      </w:r>
    </w:p>
    <w:p>
      <w:pPr>
        <w:spacing w:line="360" w:lineRule="auto"/>
        <w:ind w:firstLine="480" w:firstLineChars="200"/>
        <w:rPr>
          <w:rFonts w:ascii="仿宋" w:hAnsi="仿宋" w:eastAsia="仿宋"/>
          <w:sz w:val="24"/>
        </w:rPr>
      </w:pPr>
      <w:r>
        <w:rPr>
          <w:rFonts w:hint="eastAsia" w:ascii="仿宋" w:hAnsi="仿宋" w:eastAsia="仿宋"/>
          <w:sz w:val="24"/>
        </w:rPr>
        <w:t>（3）复试合格后，调剂单位在研招网上发送“待录取”通知，考生点击“接受待录取”，调出成功。</w:t>
      </w:r>
    </w:p>
    <w:p>
      <w:pPr>
        <w:spacing w:line="360" w:lineRule="auto"/>
        <w:ind w:firstLine="480" w:firstLineChars="200"/>
        <w:rPr>
          <w:rFonts w:ascii="仿宋" w:hAnsi="仿宋" w:eastAsia="仿宋"/>
          <w:b/>
          <w:sz w:val="24"/>
        </w:rPr>
      </w:pPr>
      <w:r>
        <w:rPr>
          <w:rFonts w:hint="eastAsia" w:ascii="仿宋" w:hAnsi="仿宋" w:eastAsia="仿宋"/>
          <w:b/>
          <w:sz w:val="24"/>
        </w:rPr>
        <w:t>注：考生只能被一个招生单位录取，在研招网上接受了“待录取”的考生将不再被其他招生单位录取。</w:t>
      </w:r>
    </w:p>
    <w:bookmarkEnd w:id="1"/>
    <w:p>
      <w:pPr>
        <w:rPr>
          <w:rFonts w:ascii="仿宋" w:hAnsi="仿宋" w:eastAsia="仿宋"/>
          <w:sz w:val="32"/>
          <w:szCs w:val="32"/>
        </w:rPr>
      </w:pPr>
    </w:p>
    <w:p/>
    <w:p>
      <w:pPr>
        <w:widowControl/>
        <w:spacing w:line="560" w:lineRule="exact"/>
        <w:jc w:val="left"/>
        <w:rPr>
          <w:rFonts w:ascii="仿宋" w:hAnsi="仿宋" w:eastAsia="仿宋" w:cs="仿宋"/>
          <w:bCs/>
          <w:kern w:val="0"/>
          <w:sz w:val="28"/>
          <w:szCs w:val="28"/>
        </w:rPr>
      </w:pPr>
    </w:p>
    <w:sectPr>
      <w:footerReference r:id="rId3" w:type="default"/>
      <w:pgSz w:w="11906" w:h="16838"/>
      <w:pgMar w:top="1134" w:right="1134" w:bottom="1134" w:left="113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21</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ZDlhMTcxZGZiN2Y2M2VjOTU5NmNmODYwNmVmNDMifQ=="/>
  </w:docVars>
  <w:rsids>
    <w:rsidRoot w:val="00172A27"/>
    <w:rsid w:val="00003CBD"/>
    <w:rsid w:val="00003FFA"/>
    <w:rsid w:val="00005AA5"/>
    <w:rsid w:val="00010C45"/>
    <w:rsid w:val="00011321"/>
    <w:rsid w:val="000137F6"/>
    <w:rsid w:val="00013904"/>
    <w:rsid w:val="000155FE"/>
    <w:rsid w:val="00016108"/>
    <w:rsid w:val="0001752E"/>
    <w:rsid w:val="0002214C"/>
    <w:rsid w:val="000233CB"/>
    <w:rsid w:val="00023509"/>
    <w:rsid w:val="00023E64"/>
    <w:rsid w:val="0002665F"/>
    <w:rsid w:val="000275C2"/>
    <w:rsid w:val="00027615"/>
    <w:rsid w:val="00034975"/>
    <w:rsid w:val="00035854"/>
    <w:rsid w:val="00037194"/>
    <w:rsid w:val="000371F4"/>
    <w:rsid w:val="00042280"/>
    <w:rsid w:val="00043F98"/>
    <w:rsid w:val="00044586"/>
    <w:rsid w:val="00044F2D"/>
    <w:rsid w:val="00044F52"/>
    <w:rsid w:val="00045063"/>
    <w:rsid w:val="00047FFC"/>
    <w:rsid w:val="00051BAB"/>
    <w:rsid w:val="00056B10"/>
    <w:rsid w:val="00060300"/>
    <w:rsid w:val="000615EF"/>
    <w:rsid w:val="0006310A"/>
    <w:rsid w:val="00063AFE"/>
    <w:rsid w:val="0006577C"/>
    <w:rsid w:val="0006623D"/>
    <w:rsid w:val="000672CA"/>
    <w:rsid w:val="000678F8"/>
    <w:rsid w:val="000708AB"/>
    <w:rsid w:val="000810BD"/>
    <w:rsid w:val="000811F6"/>
    <w:rsid w:val="0008198B"/>
    <w:rsid w:val="00084249"/>
    <w:rsid w:val="00084C54"/>
    <w:rsid w:val="000861BE"/>
    <w:rsid w:val="000943D8"/>
    <w:rsid w:val="00094AF4"/>
    <w:rsid w:val="0009531D"/>
    <w:rsid w:val="00095F46"/>
    <w:rsid w:val="00096542"/>
    <w:rsid w:val="00097837"/>
    <w:rsid w:val="000A0C72"/>
    <w:rsid w:val="000A1D5B"/>
    <w:rsid w:val="000A2D25"/>
    <w:rsid w:val="000A4831"/>
    <w:rsid w:val="000A592C"/>
    <w:rsid w:val="000A784F"/>
    <w:rsid w:val="000B38CE"/>
    <w:rsid w:val="000B3D01"/>
    <w:rsid w:val="000B5A20"/>
    <w:rsid w:val="000B6721"/>
    <w:rsid w:val="000C166D"/>
    <w:rsid w:val="000C1CCC"/>
    <w:rsid w:val="000C28AC"/>
    <w:rsid w:val="000C3409"/>
    <w:rsid w:val="000C37AC"/>
    <w:rsid w:val="000C6356"/>
    <w:rsid w:val="000D068F"/>
    <w:rsid w:val="000D2A5E"/>
    <w:rsid w:val="000D43EE"/>
    <w:rsid w:val="000D672A"/>
    <w:rsid w:val="000D7C50"/>
    <w:rsid w:val="000E2112"/>
    <w:rsid w:val="000E2B34"/>
    <w:rsid w:val="000E6BEE"/>
    <w:rsid w:val="000E746B"/>
    <w:rsid w:val="000F11BB"/>
    <w:rsid w:val="000F38BA"/>
    <w:rsid w:val="000F3A4B"/>
    <w:rsid w:val="000F4591"/>
    <w:rsid w:val="000F4AB2"/>
    <w:rsid w:val="000F74D2"/>
    <w:rsid w:val="000F78B6"/>
    <w:rsid w:val="00100038"/>
    <w:rsid w:val="00100BA1"/>
    <w:rsid w:val="0010178E"/>
    <w:rsid w:val="00103F31"/>
    <w:rsid w:val="001045FC"/>
    <w:rsid w:val="001050C7"/>
    <w:rsid w:val="001113F9"/>
    <w:rsid w:val="00111999"/>
    <w:rsid w:val="00113082"/>
    <w:rsid w:val="00113BFB"/>
    <w:rsid w:val="00114D3B"/>
    <w:rsid w:val="00115966"/>
    <w:rsid w:val="0011677A"/>
    <w:rsid w:val="00120E23"/>
    <w:rsid w:val="001239AD"/>
    <w:rsid w:val="00124244"/>
    <w:rsid w:val="00126E53"/>
    <w:rsid w:val="00127AC9"/>
    <w:rsid w:val="00132408"/>
    <w:rsid w:val="0013395F"/>
    <w:rsid w:val="001379BE"/>
    <w:rsid w:val="00140941"/>
    <w:rsid w:val="00141D40"/>
    <w:rsid w:val="0014236A"/>
    <w:rsid w:val="001445D7"/>
    <w:rsid w:val="00144978"/>
    <w:rsid w:val="00145727"/>
    <w:rsid w:val="00146F8C"/>
    <w:rsid w:val="0014711B"/>
    <w:rsid w:val="001506E6"/>
    <w:rsid w:val="001527DE"/>
    <w:rsid w:val="00153851"/>
    <w:rsid w:val="00153A87"/>
    <w:rsid w:val="00154350"/>
    <w:rsid w:val="00160E3B"/>
    <w:rsid w:val="00161345"/>
    <w:rsid w:val="0016372E"/>
    <w:rsid w:val="0016452E"/>
    <w:rsid w:val="00166199"/>
    <w:rsid w:val="00170A31"/>
    <w:rsid w:val="00170CCD"/>
    <w:rsid w:val="00172A27"/>
    <w:rsid w:val="0017589D"/>
    <w:rsid w:val="001758C9"/>
    <w:rsid w:val="001776D9"/>
    <w:rsid w:val="001821A2"/>
    <w:rsid w:val="00182967"/>
    <w:rsid w:val="00183C04"/>
    <w:rsid w:val="00184F3E"/>
    <w:rsid w:val="001859A5"/>
    <w:rsid w:val="00187D76"/>
    <w:rsid w:val="00190086"/>
    <w:rsid w:val="0019421F"/>
    <w:rsid w:val="00197B1B"/>
    <w:rsid w:val="00197F1D"/>
    <w:rsid w:val="001A191E"/>
    <w:rsid w:val="001A1A25"/>
    <w:rsid w:val="001A4FEE"/>
    <w:rsid w:val="001B298F"/>
    <w:rsid w:val="001B35CA"/>
    <w:rsid w:val="001B4C8A"/>
    <w:rsid w:val="001B6CB6"/>
    <w:rsid w:val="001B779E"/>
    <w:rsid w:val="001C0C85"/>
    <w:rsid w:val="001C21D5"/>
    <w:rsid w:val="001C3FC4"/>
    <w:rsid w:val="001C52F3"/>
    <w:rsid w:val="001D0431"/>
    <w:rsid w:val="001D3030"/>
    <w:rsid w:val="001D69AE"/>
    <w:rsid w:val="001D7360"/>
    <w:rsid w:val="001D7D1E"/>
    <w:rsid w:val="001E34A1"/>
    <w:rsid w:val="001E34D6"/>
    <w:rsid w:val="001E6276"/>
    <w:rsid w:val="001E6FB1"/>
    <w:rsid w:val="001F0A0A"/>
    <w:rsid w:val="001F22A6"/>
    <w:rsid w:val="001F3A50"/>
    <w:rsid w:val="001F59A1"/>
    <w:rsid w:val="001F5ABF"/>
    <w:rsid w:val="001F7328"/>
    <w:rsid w:val="0020083C"/>
    <w:rsid w:val="0020349B"/>
    <w:rsid w:val="00204EE7"/>
    <w:rsid w:val="002109F6"/>
    <w:rsid w:val="002115AA"/>
    <w:rsid w:val="00211E6E"/>
    <w:rsid w:val="00213031"/>
    <w:rsid w:val="00213305"/>
    <w:rsid w:val="002203BD"/>
    <w:rsid w:val="002209B2"/>
    <w:rsid w:val="00221712"/>
    <w:rsid w:val="00223420"/>
    <w:rsid w:val="00223465"/>
    <w:rsid w:val="00225395"/>
    <w:rsid w:val="002259A1"/>
    <w:rsid w:val="002278BB"/>
    <w:rsid w:val="00232182"/>
    <w:rsid w:val="00234655"/>
    <w:rsid w:val="002349B2"/>
    <w:rsid w:val="00235228"/>
    <w:rsid w:val="0023567B"/>
    <w:rsid w:val="00237D3A"/>
    <w:rsid w:val="002412BE"/>
    <w:rsid w:val="00242186"/>
    <w:rsid w:val="00243887"/>
    <w:rsid w:val="00244D32"/>
    <w:rsid w:val="00245679"/>
    <w:rsid w:val="00247320"/>
    <w:rsid w:val="0025021D"/>
    <w:rsid w:val="002507E4"/>
    <w:rsid w:val="002561EA"/>
    <w:rsid w:val="0025780A"/>
    <w:rsid w:val="00257F90"/>
    <w:rsid w:val="002619A8"/>
    <w:rsid w:val="00263773"/>
    <w:rsid w:val="00271674"/>
    <w:rsid w:val="00275B03"/>
    <w:rsid w:val="00277F34"/>
    <w:rsid w:val="00277FCC"/>
    <w:rsid w:val="00282438"/>
    <w:rsid w:val="00284A57"/>
    <w:rsid w:val="00285A62"/>
    <w:rsid w:val="00285B16"/>
    <w:rsid w:val="00286AE2"/>
    <w:rsid w:val="002874BA"/>
    <w:rsid w:val="00291731"/>
    <w:rsid w:val="00293EE5"/>
    <w:rsid w:val="00294908"/>
    <w:rsid w:val="0029502C"/>
    <w:rsid w:val="002A4F75"/>
    <w:rsid w:val="002A722B"/>
    <w:rsid w:val="002B0249"/>
    <w:rsid w:val="002B3B3A"/>
    <w:rsid w:val="002B7324"/>
    <w:rsid w:val="002B763C"/>
    <w:rsid w:val="002C1258"/>
    <w:rsid w:val="002C17F6"/>
    <w:rsid w:val="002C3D71"/>
    <w:rsid w:val="002C3F6D"/>
    <w:rsid w:val="002C4472"/>
    <w:rsid w:val="002C5025"/>
    <w:rsid w:val="002C6E67"/>
    <w:rsid w:val="002C70A6"/>
    <w:rsid w:val="002D2EB8"/>
    <w:rsid w:val="002D3749"/>
    <w:rsid w:val="002D519F"/>
    <w:rsid w:val="002D599A"/>
    <w:rsid w:val="002D72A2"/>
    <w:rsid w:val="002D7BA9"/>
    <w:rsid w:val="002E2846"/>
    <w:rsid w:val="002E2B60"/>
    <w:rsid w:val="002E5318"/>
    <w:rsid w:val="002E629C"/>
    <w:rsid w:val="002E728B"/>
    <w:rsid w:val="002F1B93"/>
    <w:rsid w:val="002F2671"/>
    <w:rsid w:val="002F3A9D"/>
    <w:rsid w:val="002F4492"/>
    <w:rsid w:val="002F56BB"/>
    <w:rsid w:val="00300E2B"/>
    <w:rsid w:val="0030103A"/>
    <w:rsid w:val="00302FCE"/>
    <w:rsid w:val="00303039"/>
    <w:rsid w:val="00304529"/>
    <w:rsid w:val="00304587"/>
    <w:rsid w:val="00305B1E"/>
    <w:rsid w:val="00307EB0"/>
    <w:rsid w:val="00314CB5"/>
    <w:rsid w:val="00317940"/>
    <w:rsid w:val="00320E5B"/>
    <w:rsid w:val="003237EB"/>
    <w:rsid w:val="003313E8"/>
    <w:rsid w:val="00331748"/>
    <w:rsid w:val="00332678"/>
    <w:rsid w:val="00332EDD"/>
    <w:rsid w:val="00334E44"/>
    <w:rsid w:val="00334F7F"/>
    <w:rsid w:val="00336D83"/>
    <w:rsid w:val="0034048E"/>
    <w:rsid w:val="003410D3"/>
    <w:rsid w:val="00342016"/>
    <w:rsid w:val="00343FC0"/>
    <w:rsid w:val="0034492E"/>
    <w:rsid w:val="00344CB7"/>
    <w:rsid w:val="0035034F"/>
    <w:rsid w:val="003508E6"/>
    <w:rsid w:val="00351110"/>
    <w:rsid w:val="00356B1B"/>
    <w:rsid w:val="00357860"/>
    <w:rsid w:val="003600EE"/>
    <w:rsid w:val="00361009"/>
    <w:rsid w:val="003615BF"/>
    <w:rsid w:val="00361A1F"/>
    <w:rsid w:val="003633B1"/>
    <w:rsid w:val="003641DA"/>
    <w:rsid w:val="00365791"/>
    <w:rsid w:val="00374637"/>
    <w:rsid w:val="00375D03"/>
    <w:rsid w:val="003773FD"/>
    <w:rsid w:val="00385BE9"/>
    <w:rsid w:val="00385E72"/>
    <w:rsid w:val="00386938"/>
    <w:rsid w:val="00387F00"/>
    <w:rsid w:val="00391212"/>
    <w:rsid w:val="00391282"/>
    <w:rsid w:val="003913E9"/>
    <w:rsid w:val="00392048"/>
    <w:rsid w:val="00395E7C"/>
    <w:rsid w:val="00396277"/>
    <w:rsid w:val="003A0468"/>
    <w:rsid w:val="003A14E6"/>
    <w:rsid w:val="003A3B83"/>
    <w:rsid w:val="003A46A3"/>
    <w:rsid w:val="003A4ECB"/>
    <w:rsid w:val="003A534D"/>
    <w:rsid w:val="003A5771"/>
    <w:rsid w:val="003A58D9"/>
    <w:rsid w:val="003A630A"/>
    <w:rsid w:val="003A651E"/>
    <w:rsid w:val="003A6E88"/>
    <w:rsid w:val="003A7EEA"/>
    <w:rsid w:val="003B0277"/>
    <w:rsid w:val="003B04A9"/>
    <w:rsid w:val="003B14CF"/>
    <w:rsid w:val="003B2822"/>
    <w:rsid w:val="003B4188"/>
    <w:rsid w:val="003B4AAD"/>
    <w:rsid w:val="003B52EB"/>
    <w:rsid w:val="003B55AA"/>
    <w:rsid w:val="003C00C6"/>
    <w:rsid w:val="003C0381"/>
    <w:rsid w:val="003C135C"/>
    <w:rsid w:val="003C137E"/>
    <w:rsid w:val="003C2BEF"/>
    <w:rsid w:val="003C36B4"/>
    <w:rsid w:val="003C406C"/>
    <w:rsid w:val="003C40D6"/>
    <w:rsid w:val="003C6B7B"/>
    <w:rsid w:val="003D1FCA"/>
    <w:rsid w:val="003D2732"/>
    <w:rsid w:val="003D28ED"/>
    <w:rsid w:val="003D5A41"/>
    <w:rsid w:val="003D7555"/>
    <w:rsid w:val="003D7E12"/>
    <w:rsid w:val="003E13A9"/>
    <w:rsid w:val="003E5674"/>
    <w:rsid w:val="003F0399"/>
    <w:rsid w:val="003F094A"/>
    <w:rsid w:val="003F2061"/>
    <w:rsid w:val="003F2322"/>
    <w:rsid w:val="003F481B"/>
    <w:rsid w:val="003F528E"/>
    <w:rsid w:val="003F7BEF"/>
    <w:rsid w:val="004027D4"/>
    <w:rsid w:val="004043FB"/>
    <w:rsid w:val="00405CE0"/>
    <w:rsid w:val="004060ED"/>
    <w:rsid w:val="004138D9"/>
    <w:rsid w:val="00420238"/>
    <w:rsid w:val="0042270F"/>
    <w:rsid w:val="00427B9B"/>
    <w:rsid w:val="00427BC3"/>
    <w:rsid w:val="004315D0"/>
    <w:rsid w:val="004317F2"/>
    <w:rsid w:val="0043584A"/>
    <w:rsid w:val="004358A1"/>
    <w:rsid w:val="004365E5"/>
    <w:rsid w:val="00442291"/>
    <w:rsid w:val="004425A1"/>
    <w:rsid w:val="0044652F"/>
    <w:rsid w:val="0044739B"/>
    <w:rsid w:val="004474FD"/>
    <w:rsid w:val="00450FEB"/>
    <w:rsid w:val="0045168E"/>
    <w:rsid w:val="00452DD2"/>
    <w:rsid w:val="0045366F"/>
    <w:rsid w:val="004551CE"/>
    <w:rsid w:val="004576E3"/>
    <w:rsid w:val="0046033C"/>
    <w:rsid w:val="004606F1"/>
    <w:rsid w:val="00461074"/>
    <w:rsid w:val="004625A2"/>
    <w:rsid w:val="00463240"/>
    <w:rsid w:val="00464E40"/>
    <w:rsid w:val="00464EB8"/>
    <w:rsid w:val="004659D2"/>
    <w:rsid w:val="00471FD9"/>
    <w:rsid w:val="00472122"/>
    <w:rsid w:val="004742BB"/>
    <w:rsid w:val="004776E1"/>
    <w:rsid w:val="004816D6"/>
    <w:rsid w:val="004817A0"/>
    <w:rsid w:val="00482211"/>
    <w:rsid w:val="0048238D"/>
    <w:rsid w:val="00482933"/>
    <w:rsid w:val="00482A6A"/>
    <w:rsid w:val="00483113"/>
    <w:rsid w:val="0048419E"/>
    <w:rsid w:val="0048633C"/>
    <w:rsid w:val="00486B14"/>
    <w:rsid w:val="00492C10"/>
    <w:rsid w:val="00494C79"/>
    <w:rsid w:val="00494E47"/>
    <w:rsid w:val="00496EC5"/>
    <w:rsid w:val="004A019D"/>
    <w:rsid w:val="004A0F94"/>
    <w:rsid w:val="004A26FC"/>
    <w:rsid w:val="004A49A6"/>
    <w:rsid w:val="004A59FB"/>
    <w:rsid w:val="004A79A7"/>
    <w:rsid w:val="004B0048"/>
    <w:rsid w:val="004B195A"/>
    <w:rsid w:val="004B2E4F"/>
    <w:rsid w:val="004B4602"/>
    <w:rsid w:val="004B7D24"/>
    <w:rsid w:val="004C1862"/>
    <w:rsid w:val="004C2567"/>
    <w:rsid w:val="004C2D1B"/>
    <w:rsid w:val="004C2DC5"/>
    <w:rsid w:val="004C55FF"/>
    <w:rsid w:val="004C5C48"/>
    <w:rsid w:val="004C63DF"/>
    <w:rsid w:val="004C663B"/>
    <w:rsid w:val="004C6906"/>
    <w:rsid w:val="004C71E5"/>
    <w:rsid w:val="004C7C97"/>
    <w:rsid w:val="004D132D"/>
    <w:rsid w:val="004D2353"/>
    <w:rsid w:val="004D2D1A"/>
    <w:rsid w:val="004D7C9A"/>
    <w:rsid w:val="004E1A5D"/>
    <w:rsid w:val="004E1C5B"/>
    <w:rsid w:val="004E3291"/>
    <w:rsid w:val="004E3441"/>
    <w:rsid w:val="004E468C"/>
    <w:rsid w:val="004E5AA0"/>
    <w:rsid w:val="004F2829"/>
    <w:rsid w:val="004F3CA4"/>
    <w:rsid w:val="004F6E24"/>
    <w:rsid w:val="00500A56"/>
    <w:rsid w:val="0050416D"/>
    <w:rsid w:val="00504281"/>
    <w:rsid w:val="005046FE"/>
    <w:rsid w:val="00507DF9"/>
    <w:rsid w:val="00507E67"/>
    <w:rsid w:val="00511A62"/>
    <w:rsid w:val="00512F5F"/>
    <w:rsid w:val="00516B2D"/>
    <w:rsid w:val="0052186D"/>
    <w:rsid w:val="0052230E"/>
    <w:rsid w:val="0052428D"/>
    <w:rsid w:val="00525730"/>
    <w:rsid w:val="00525B66"/>
    <w:rsid w:val="00527302"/>
    <w:rsid w:val="005278C9"/>
    <w:rsid w:val="005306FA"/>
    <w:rsid w:val="005324D5"/>
    <w:rsid w:val="005369B7"/>
    <w:rsid w:val="0053715B"/>
    <w:rsid w:val="005470F1"/>
    <w:rsid w:val="005536D1"/>
    <w:rsid w:val="00555A0D"/>
    <w:rsid w:val="00555CF1"/>
    <w:rsid w:val="005567A7"/>
    <w:rsid w:val="00556AC9"/>
    <w:rsid w:val="005635C9"/>
    <w:rsid w:val="005637BF"/>
    <w:rsid w:val="00563B3C"/>
    <w:rsid w:val="00565B96"/>
    <w:rsid w:val="005660E0"/>
    <w:rsid w:val="0057116A"/>
    <w:rsid w:val="00573160"/>
    <w:rsid w:val="005753C6"/>
    <w:rsid w:val="005759AD"/>
    <w:rsid w:val="00575E9A"/>
    <w:rsid w:val="005761CA"/>
    <w:rsid w:val="00576B4E"/>
    <w:rsid w:val="005803DF"/>
    <w:rsid w:val="005806B9"/>
    <w:rsid w:val="00580BAF"/>
    <w:rsid w:val="00583296"/>
    <w:rsid w:val="005835C3"/>
    <w:rsid w:val="005843C4"/>
    <w:rsid w:val="00584EC1"/>
    <w:rsid w:val="00585D63"/>
    <w:rsid w:val="005901CF"/>
    <w:rsid w:val="005936DA"/>
    <w:rsid w:val="0059394F"/>
    <w:rsid w:val="00596996"/>
    <w:rsid w:val="00597836"/>
    <w:rsid w:val="005A5133"/>
    <w:rsid w:val="005B091B"/>
    <w:rsid w:val="005B0DC4"/>
    <w:rsid w:val="005B0E3E"/>
    <w:rsid w:val="005B31A4"/>
    <w:rsid w:val="005B3A00"/>
    <w:rsid w:val="005B46B4"/>
    <w:rsid w:val="005B5F0E"/>
    <w:rsid w:val="005C1319"/>
    <w:rsid w:val="005C30DA"/>
    <w:rsid w:val="005C47B9"/>
    <w:rsid w:val="005C7BDD"/>
    <w:rsid w:val="005D3368"/>
    <w:rsid w:val="005D3882"/>
    <w:rsid w:val="005D397C"/>
    <w:rsid w:val="005D4397"/>
    <w:rsid w:val="005D6326"/>
    <w:rsid w:val="005D6BE6"/>
    <w:rsid w:val="005E1721"/>
    <w:rsid w:val="005E3C26"/>
    <w:rsid w:val="005E5024"/>
    <w:rsid w:val="005E758C"/>
    <w:rsid w:val="005F22D7"/>
    <w:rsid w:val="005F32D1"/>
    <w:rsid w:val="005F5626"/>
    <w:rsid w:val="005F75CC"/>
    <w:rsid w:val="005F7A1F"/>
    <w:rsid w:val="00600048"/>
    <w:rsid w:val="00600DD7"/>
    <w:rsid w:val="006022E5"/>
    <w:rsid w:val="0060355F"/>
    <w:rsid w:val="006046DC"/>
    <w:rsid w:val="00604EDD"/>
    <w:rsid w:val="006059F2"/>
    <w:rsid w:val="00613AA2"/>
    <w:rsid w:val="006174FF"/>
    <w:rsid w:val="00621267"/>
    <w:rsid w:val="00622BF7"/>
    <w:rsid w:val="0062571D"/>
    <w:rsid w:val="00626894"/>
    <w:rsid w:val="006269E5"/>
    <w:rsid w:val="00631775"/>
    <w:rsid w:val="006325B1"/>
    <w:rsid w:val="00632C7C"/>
    <w:rsid w:val="00636A36"/>
    <w:rsid w:val="00636DB4"/>
    <w:rsid w:val="00640D64"/>
    <w:rsid w:val="00641144"/>
    <w:rsid w:val="00641622"/>
    <w:rsid w:val="0064234C"/>
    <w:rsid w:val="006428BE"/>
    <w:rsid w:val="00643911"/>
    <w:rsid w:val="00644CD3"/>
    <w:rsid w:val="006466E7"/>
    <w:rsid w:val="00647E10"/>
    <w:rsid w:val="00651C4A"/>
    <w:rsid w:val="00651E42"/>
    <w:rsid w:val="00652063"/>
    <w:rsid w:val="00654E3E"/>
    <w:rsid w:val="00654ED7"/>
    <w:rsid w:val="006564A9"/>
    <w:rsid w:val="00656E83"/>
    <w:rsid w:val="00660A26"/>
    <w:rsid w:val="00660BFF"/>
    <w:rsid w:val="00661486"/>
    <w:rsid w:val="006621A8"/>
    <w:rsid w:val="006659DA"/>
    <w:rsid w:val="00667D67"/>
    <w:rsid w:val="00670BE8"/>
    <w:rsid w:val="00671EDE"/>
    <w:rsid w:val="00677552"/>
    <w:rsid w:val="006775C1"/>
    <w:rsid w:val="006835FF"/>
    <w:rsid w:val="00685FA5"/>
    <w:rsid w:val="00687F65"/>
    <w:rsid w:val="006920C0"/>
    <w:rsid w:val="0069435E"/>
    <w:rsid w:val="00694D20"/>
    <w:rsid w:val="00694F04"/>
    <w:rsid w:val="00696DDF"/>
    <w:rsid w:val="00697538"/>
    <w:rsid w:val="00697B26"/>
    <w:rsid w:val="006A12FC"/>
    <w:rsid w:val="006A18B8"/>
    <w:rsid w:val="006A1A2D"/>
    <w:rsid w:val="006A3620"/>
    <w:rsid w:val="006A52D2"/>
    <w:rsid w:val="006A56CD"/>
    <w:rsid w:val="006B092B"/>
    <w:rsid w:val="006B14E6"/>
    <w:rsid w:val="006B1B56"/>
    <w:rsid w:val="006B2E4E"/>
    <w:rsid w:val="006B4E8C"/>
    <w:rsid w:val="006B4EA9"/>
    <w:rsid w:val="006B515E"/>
    <w:rsid w:val="006B645E"/>
    <w:rsid w:val="006B76B3"/>
    <w:rsid w:val="006C32A4"/>
    <w:rsid w:val="006C4ADE"/>
    <w:rsid w:val="006C5564"/>
    <w:rsid w:val="006D1D1A"/>
    <w:rsid w:val="006D1D6B"/>
    <w:rsid w:val="006D470D"/>
    <w:rsid w:val="006D6D8D"/>
    <w:rsid w:val="006D7404"/>
    <w:rsid w:val="006E0AAF"/>
    <w:rsid w:val="006E2D73"/>
    <w:rsid w:val="006E4F24"/>
    <w:rsid w:val="006F076D"/>
    <w:rsid w:val="006F39E1"/>
    <w:rsid w:val="006F44A3"/>
    <w:rsid w:val="006F4F6E"/>
    <w:rsid w:val="00701BED"/>
    <w:rsid w:val="00703E64"/>
    <w:rsid w:val="00707594"/>
    <w:rsid w:val="00710AA4"/>
    <w:rsid w:val="00714768"/>
    <w:rsid w:val="0071536F"/>
    <w:rsid w:val="0071701E"/>
    <w:rsid w:val="0071763B"/>
    <w:rsid w:val="00717989"/>
    <w:rsid w:val="0072406F"/>
    <w:rsid w:val="0072515A"/>
    <w:rsid w:val="00725FC0"/>
    <w:rsid w:val="00730447"/>
    <w:rsid w:val="007312BB"/>
    <w:rsid w:val="0073442A"/>
    <w:rsid w:val="00742A6D"/>
    <w:rsid w:val="0074580D"/>
    <w:rsid w:val="00747576"/>
    <w:rsid w:val="00747F9C"/>
    <w:rsid w:val="0075049D"/>
    <w:rsid w:val="007524B7"/>
    <w:rsid w:val="0075251E"/>
    <w:rsid w:val="00754F03"/>
    <w:rsid w:val="00757318"/>
    <w:rsid w:val="00761C8D"/>
    <w:rsid w:val="007634CC"/>
    <w:rsid w:val="00766281"/>
    <w:rsid w:val="0076718E"/>
    <w:rsid w:val="00767BA5"/>
    <w:rsid w:val="00770FAB"/>
    <w:rsid w:val="00772EC3"/>
    <w:rsid w:val="00773BA9"/>
    <w:rsid w:val="007744F6"/>
    <w:rsid w:val="00780584"/>
    <w:rsid w:val="00781AE4"/>
    <w:rsid w:val="00783EC8"/>
    <w:rsid w:val="007847E9"/>
    <w:rsid w:val="00787BC1"/>
    <w:rsid w:val="007921BC"/>
    <w:rsid w:val="00793A13"/>
    <w:rsid w:val="00796A34"/>
    <w:rsid w:val="00796DB2"/>
    <w:rsid w:val="007976A9"/>
    <w:rsid w:val="00797DF4"/>
    <w:rsid w:val="007A20B5"/>
    <w:rsid w:val="007A3ACE"/>
    <w:rsid w:val="007A51B2"/>
    <w:rsid w:val="007A579D"/>
    <w:rsid w:val="007B2DAE"/>
    <w:rsid w:val="007B3955"/>
    <w:rsid w:val="007B4083"/>
    <w:rsid w:val="007B5332"/>
    <w:rsid w:val="007B5619"/>
    <w:rsid w:val="007C1782"/>
    <w:rsid w:val="007C2353"/>
    <w:rsid w:val="007C5AA0"/>
    <w:rsid w:val="007C5FE7"/>
    <w:rsid w:val="007C728F"/>
    <w:rsid w:val="007C7E43"/>
    <w:rsid w:val="007D04EF"/>
    <w:rsid w:val="007D06E6"/>
    <w:rsid w:val="007D086B"/>
    <w:rsid w:val="007D3B41"/>
    <w:rsid w:val="007D7093"/>
    <w:rsid w:val="007E15B0"/>
    <w:rsid w:val="007E1BD8"/>
    <w:rsid w:val="007E6CA8"/>
    <w:rsid w:val="007F1E14"/>
    <w:rsid w:val="007F1FB0"/>
    <w:rsid w:val="007F30E5"/>
    <w:rsid w:val="007F5670"/>
    <w:rsid w:val="008043A4"/>
    <w:rsid w:val="00804BBA"/>
    <w:rsid w:val="00805B4B"/>
    <w:rsid w:val="008069E6"/>
    <w:rsid w:val="008102D2"/>
    <w:rsid w:val="0081266A"/>
    <w:rsid w:val="0081293F"/>
    <w:rsid w:val="00813691"/>
    <w:rsid w:val="00815FD7"/>
    <w:rsid w:val="008178C2"/>
    <w:rsid w:val="00820E2D"/>
    <w:rsid w:val="00822A52"/>
    <w:rsid w:val="00823D6B"/>
    <w:rsid w:val="00827420"/>
    <w:rsid w:val="00827DD9"/>
    <w:rsid w:val="00830AAE"/>
    <w:rsid w:val="008316EE"/>
    <w:rsid w:val="00832585"/>
    <w:rsid w:val="00832D6E"/>
    <w:rsid w:val="00833F2A"/>
    <w:rsid w:val="00842F10"/>
    <w:rsid w:val="00844B19"/>
    <w:rsid w:val="00844FAC"/>
    <w:rsid w:val="0084520A"/>
    <w:rsid w:val="0084580D"/>
    <w:rsid w:val="0084706C"/>
    <w:rsid w:val="008471BC"/>
    <w:rsid w:val="00847E89"/>
    <w:rsid w:val="0086419C"/>
    <w:rsid w:val="008643E1"/>
    <w:rsid w:val="0086465E"/>
    <w:rsid w:val="00864E8B"/>
    <w:rsid w:val="00871809"/>
    <w:rsid w:val="00871D04"/>
    <w:rsid w:val="008750B1"/>
    <w:rsid w:val="008766BB"/>
    <w:rsid w:val="00880A0E"/>
    <w:rsid w:val="008825AC"/>
    <w:rsid w:val="008837C0"/>
    <w:rsid w:val="00883B28"/>
    <w:rsid w:val="00883BA1"/>
    <w:rsid w:val="00884ED9"/>
    <w:rsid w:val="008853BD"/>
    <w:rsid w:val="00891578"/>
    <w:rsid w:val="00891C89"/>
    <w:rsid w:val="008926D7"/>
    <w:rsid w:val="00893B2E"/>
    <w:rsid w:val="008A2D90"/>
    <w:rsid w:val="008A340A"/>
    <w:rsid w:val="008A49E6"/>
    <w:rsid w:val="008A4C65"/>
    <w:rsid w:val="008A4E82"/>
    <w:rsid w:val="008A6B7A"/>
    <w:rsid w:val="008A7FAB"/>
    <w:rsid w:val="008B0A5B"/>
    <w:rsid w:val="008B3522"/>
    <w:rsid w:val="008B7148"/>
    <w:rsid w:val="008C2640"/>
    <w:rsid w:val="008C3CEA"/>
    <w:rsid w:val="008C5EB2"/>
    <w:rsid w:val="008C695A"/>
    <w:rsid w:val="008C7322"/>
    <w:rsid w:val="008D0C47"/>
    <w:rsid w:val="008D12A5"/>
    <w:rsid w:val="008D735C"/>
    <w:rsid w:val="008E0C34"/>
    <w:rsid w:val="008E30CD"/>
    <w:rsid w:val="008E5C43"/>
    <w:rsid w:val="008F01B1"/>
    <w:rsid w:val="008F0497"/>
    <w:rsid w:val="008F10F5"/>
    <w:rsid w:val="008F6288"/>
    <w:rsid w:val="008F6615"/>
    <w:rsid w:val="008F75F0"/>
    <w:rsid w:val="008F771D"/>
    <w:rsid w:val="009022ED"/>
    <w:rsid w:val="00903D78"/>
    <w:rsid w:val="00904261"/>
    <w:rsid w:val="00904561"/>
    <w:rsid w:val="00911361"/>
    <w:rsid w:val="00912EFD"/>
    <w:rsid w:val="0091510A"/>
    <w:rsid w:val="0091543C"/>
    <w:rsid w:val="0092053D"/>
    <w:rsid w:val="009236AB"/>
    <w:rsid w:val="009251CB"/>
    <w:rsid w:val="00932F1C"/>
    <w:rsid w:val="00933901"/>
    <w:rsid w:val="0093546D"/>
    <w:rsid w:val="00935F79"/>
    <w:rsid w:val="00937D6D"/>
    <w:rsid w:val="00940DA0"/>
    <w:rsid w:val="00942F71"/>
    <w:rsid w:val="0094538A"/>
    <w:rsid w:val="00946301"/>
    <w:rsid w:val="0094647C"/>
    <w:rsid w:val="0094671A"/>
    <w:rsid w:val="00947A93"/>
    <w:rsid w:val="00950831"/>
    <w:rsid w:val="00950F5F"/>
    <w:rsid w:val="00951CFB"/>
    <w:rsid w:val="00954284"/>
    <w:rsid w:val="00954BDA"/>
    <w:rsid w:val="009559DF"/>
    <w:rsid w:val="00955F2F"/>
    <w:rsid w:val="00956FD7"/>
    <w:rsid w:val="009571B5"/>
    <w:rsid w:val="009653F5"/>
    <w:rsid w:val="009673DE"/>
    <w:rsid w:val="0096792A"/>
    <w:rsid w:val="0097003A"/>
    <w:rsid w:val="009704DF"/>
    <w:rsid w:val="00970B22"/>
    <w:rsid w:val="0097173F"/>
    <w:rsid w:val="009774BD"/>
    <w:rsid w:val="00977C01"/>
    <w:rsid w:val="00981233"/>
    <w:rsid w:val="009826DA"/>
    <w:rsid w:val="00983157"/>
    <w:rsid w:val="00983985"/>
    <w:rsid w:val="009844B6"/>
    <w:rsid w:val="00985472"/>
    <w:rsid w:val="009856C8"/>
    <w:rsid w:val="009930D7"/>
    <w:rsid w:val="00995881"/>
    <w:rsid w:val="009A0B2C"/>
    <w:rsid w:val="009A20ED"/>
    <w:rsid w:val="009A2CF6"/>
    <w:rsid w:val="009A364C"/>
    <w:rsid w:val="009A46D5"/>
    <w:rsid w:val="009A5914"/>
    <w:rsid w:val="009B16E1"/>
    <w:rsid w:val="009B1D66"/>
    <w:rsid w:val="009B34AC"/>
    <w:rsid w:val="009C0AD2"/>
    <w:rsid w:val="009C3C37"/>
    <w:rsid w:val="009C3C5C"/>
    <w:rsid w:val="009C4611"/>
    <w:rsid w:val="009C7C9E"/>
    <w:rsid w:val="009D1179"/>
    <w:rsid w:val="009D2E78"/>
    <w:rsid w:val="009D3C09"/>
    <w:rsid w:val="009D665A"/>
    <w:rsid w:val="009D74D7"/>
    <w:rsid w:val="009E0BCA"/>
    <w:rsid w:val="009E1734"/>
    <w:rsid w:val="009E21CC"/>
    <w:rsid w:val="009E4B51"/>
    <w:rsid w:val="009E54FF"/>
    <w:rsid w:val="009E5715"/>
    <w:rsid w:val="009E6241"/>
    <w:rsid w:val="009E7EC2"/>
    <w:rsid w:val="009F47B5"/>
    <w:rsid w:val="00A00B7B"/>
    <w:rsid w:val="00A043F7"/>
    <w:rsid w:val="00A06EC4"/>
    <w:rsid w:val="00A07283"/>
    <w:rsid w:val="00A0776E"/>
    <w:rsid w:val="00A15A1F"/>
    <w:rsid w:val="00A17410"/>
    <w:rsid w:val="00A25076"/>
    <w:rsid w:val="00A2516B"/>
    <w:rsid w:val="00A252B4"/>
    <w:rsid w:val="00A271D7"/>
    <w:rsid w:val="00A31624"/>
    <w:rsid w:val="00A34268"/>
    <w:rsid w:val="00A36BEE"/>
    <w:rsid w:val="00A37B45"/>
    <w:rsid w:val="00A41655"/>
    <w:rsid w:val="00A44866"/>
    <w:rsid w:val="00A45193"/>
    <w:rsid w:val="00A45D09"/>
    <w:rsid w:val="00A4663F"/>
    <w:rsid w:val="00A4736B"/>
    <w:rsid w:val="00A503D3"/>
    <w:rsid w:val="00A505E7"/>
    <w:rsid w:val="00A51617"/>
    <w:rsid w:val="00A5252B"/>
    <w:rsid w:val="00A562E5"/>
    <w:rsid w:val="00A577FA"/>
    <w:rsid w:val="00A626FE"/>
    <w:rsid w:val="00A6563C"/>
    <w:rsid w:val="00A6711E"/>
    <w:rsid w:val="00A67B35"/>
    <w:rsid w:val="00A75668"/>
    <w:rsid w:val="00A75EC4"/>
    <w:rsid w:val="00A761C1"/>
    <w:rsid w:val="00A76E2C"/>
    <w:rsid w:val="00A80789"/>
    <w:rsid w:val="00A84104"/>
    <w:rsid w:val="00A85E3B"/>
    <w:rsid w:val="00A92202"/>
    <w:rsid w:val="00A95DAB"/>
    <w:rsid w:val="00A97365"/>
    <w:rsid w:val="00A97D84"/>
    <w:rsid w:val="00AA6D72"/>
    <w:rsid w:val="00AB12F7"/>
    <w:rsid w:val="00AB3273"/>
    <w:rsid w:val="00AB4D75"/>
    <w:rsid w:val="00AB5729"/>
    <w:rsid w:val="00AB65E9"/>
    <w:rsid w:val="00AB6F8B"/>
    <w:rsid w:val="00AC071C"/>
    <w:rsid w:val="00AC2D48"/>
    <w:rsid w:val="00AC7106"/>
    <w:rsid w:val="00AD0376"/>
    <w:rsid w:val="00AD3076"/>
    <w:rsid w:val="00AD7E83"/>
    <w:rsid w:val="00AE10D4"/>
    <w:rsid w:val="00AE4A80"/>
    <w:rsid w:val="00AE661B"/>
    <w:rsid w:val="00AE6BBA"/>
    <w:rsid w:val="00AF0231"/>
    <w:rsid w:val="00AF1ADD"/>
    <w:rsid w:val="00AF2538"/>
    <w:rsid w:val="00AF4219"/>
    <w:rsid w:val="00AF5B4E"/>
    <w:rsid w:val="00AF7FC1"/>
    <w:rsid w:val="00B014AD"/>
    <w:rsid w:val="00B01C85"/>
    <w:rsid w:val="00B03713"/>
    <w:rsid w:val="00B03909"/>
    <w:rsid w:val="00B064FF"/>
    <w:rsid w:val="00B1318A"/>
    <w:rsid w:val="00B1491C"/>
    <w:rsid w:val="00B1598E"/>
    <w:rsid w:val="00B20C28"/>
    <w:rsid w:val="00B244CF"/>
    <w:rsid w:val="00B25300"/>
    <w:rsid w:val="00B261AC"/>
    <w:rsid w:val="00B27970"/>
    <w:rsid w:val="00B301DA"/>
    <w:rsid w:val="00B3088F"/>
    <w:rsid w:val="00B311C1"/>
    <w:rsid w:val="00B33265"/>
    <w:rsid w:val="00B35A26"/>
    <w:rsid w:val="00B36956"/>
    <w:rsid w:val="00B37158"/>
    <w:rsid w:val="00B41C31"/>
    <w:rsid w:val="00B435A0"/>
    <w:rsid w:val="00B4466E"/>
    <w:rsid w:val="00B44E55"/>
    <w:rsid w:val="00B461BE"/>
    <w:rsid w:val="00B472E2"/>
    <w:rsid w:val="00B503F8"/>
    <w:rsid w:val="00B50B49"/>
    <w:rsid w:val="00B51821"/>
    <w:rsid w:val="00B52916"/>
    <w:rsid w:val="00B53695"/>
    <w:rsid w:val="00B541DA"/>
    <w:rsid w:val="00B545A7"/>
    <w:rsid w:val="00B55058"/>
    <w:rsid w:val="00B569D5"/>
    <w:rsid w:val="00B607F7"/>
    <w:rsid w:val="00B613C0"/>
    <w:rsid w:val="00B630CD"/>
    <w:rsid w:val="00B63EE2"/>
    <w:rsid w:val="00B64629"/>
    <w:rsid w:val="00B65AB6"/>
    <w:rsid w:val="00B70026"/>
    <w:rsid w:val="00B7080B"/>
    <w:rsid w:val="00B70BD3"/>
    <w:rsid w:val="00B7224C"/>
    <w:rsid w:val="00B7404E"/>
    <w:rsid w:val="00B7420B"/>
    <w:rsid w:val="00B75579"/>
    <w:rsid w:val="00B756B2"/>
    <w:rsid w:val="00B763C6"/>
    <w:rsid w:val="00B76EC5"/>
    <w:rsid w:val="00B806BD"/>
    <w:rsid w:val="00B82049"/>
    <w:rsid w:val="00B86324"/>
    <w:rsid w:val="00B90F0C"/>
    <w:rsid w:val="00B90F97"/>
    <w:rsid w:val="00B91BCF"/>
    <w:rsid w:val="00B94173"/>
    <w:rsid w:val="00B955AF"/>
    <w:rsid w:val="00B95654"/>
    <w:rsid w:val="00B9640A"/>
    <w:rsid w:val="00BA059B"/>
    <w:rsid w:val="00BA0F5A"/>
    <w:rsid w:val="00BA2985"/>
    <w:rsid w:val="00BA2ABD"/>
    <w:rsid w:val="00BA64D0"/>
    <w:rsid w:val="00BB1CA0"/>
    <w:rsid w:val="00BB30E9"/>
    <w:rsid w:val="00BB48F2"/>
    <w:rsid w:val="00BB5903"/>
    <w:rsid w:val="00BC0BD3"/>
    <w:rsid w:val="00BC0FEE"/>
    <w:rsid w:val="00BC16A1"/>
    <w:rsid w:val="00BC29E1"/>
    <w:rsid w:val="00BC335A"/>
    <w:rsid w:val="00BC4843"/>
    <w:rsid w:val="00BC5637"/>
    <w:rsid w:val="00BC7009"/>
    <w:rsid w:val="00BD24C0"/>
    <w:rsid w:val="00BD6296"/>
    <w:rsid w:val="00BE3D50"/>
    <w:rsid w:val="00BE4E60"/>
    <w:rsid w:val="00BF24AF"/>
    <w:rsid w:val="00BF30FE"/>
    <w:rsid w:val="00BF44E7"/>
    <w:rsid w:val="00C00751"/>
    <w:rsid w:val="00C010BB"/>
    <w:rsid w:val="00C033D1"/>
    <w:rsid w:val="00C03914"/>
    <w:rsid w:val="00C05660"/>
    <w:rsid w:val="00C065AF"/>
    <w:rsid w:val="00C129C0"/>
    <w:rsid w:val="00C15FE8"/>
    <w:rsid w:val="00C20620"/>
    <w:rsid w:val="00C248D2"/>
    <w:rsid w:val="00C30EC5"/>
    <w:rsid w:val="00C34503"/>
    <w:rsid w:val="00C3551A"/>
    <w:rsid w:val="00C35658"/>
    <w:rsid w:val="00C36BE5"/>
    <w:rsid w:val="00C41056"/>
    <w:rsid w:val="00C43544"/>
    <w:rsid w:val="00C4799F"/>
    <w:rsid w:val="00C479AA"/>
    <w:rsid w:val="00C53960"/>
    <w:rsid w:val="00C53DDB"/>
    <w:rsid w:val="00C5586B"/>
    <w:rsid w:val="00C56A00"/>
    <w:rsid w:val="00C57927"/>
    <w:rsid w:val="00C6049D"/>
    <w:rsid w:val="00C60877"/>
    <w:rsid w:val="00C60A64"/>
    <w:rsid w:val="00C66EBD"/>
    <w:rsid w:val="00C67326"/>
    <w:rsid w:val="00C67C24"/>
    <w:rsid w:val="00C703F5"/>
    <w:rsid w:val="00C709FE"/>
    <w:rsid w:val="00C7271B"/>
    <w:rsid w:val="00C7395A"/>
    <w:rsid w:val="00C76F19"/>
    <w:rsid w:val="00C76F22"/>
    <w:rsid w:val="00C8484A"/>
    <w:rsid w:val="00C86004"/>
    <w:rsid w:val="00C86AB0"/>
    <w:rsid w:val="00C92BAE"/>
    <w:rsid w:val="00C936B6"/>
    <w:rsid w:val="00C9384B"/>
    <w:rsid w:val="00C94011"/>
    <w:rsid w:val="00C95261"/>
    <w:rsid w:val="00C967F4"/>
    <w:rsid w:val="00C96C5A"/>
    <w:rsid w:val="00C97F19"/>
    <w:rsid w:val="00C97FE5"/>
    <w:rsid w:val="00CA1545"/>
    <w:rsid w:val="00CA380A"/>
    <w:rsid w:val="00CA51FB"/>
    <w:rsid w:val="00CA7A2B"/>
    <w:rsid w:val="00CB3A91"/>
    <w:rsid w:val="00CB3C3E"/>
    <w:rsid w:val="00CB468D"/>
    <w:rsid w:val="00CB5A2C"/>
    <w:rsid w:val="00CB604B"/>
    <w:rsid w:val="00CC1BCF"/>
    <w:rsid w:val="00CC1BF3"/>
    <w:rsid w:val="00CC6B66"/>
    <w:rsid w:val="00CD0AC7"/>
    <w:rsid w:val="00CD116A"/>
    <w:rsid w:val="00CD31F0"/>
    <w:rsid w:val="00CD3D03"/>
    <w:rsid w:val="00CD4D8B"/>
    <w:rsid w:val="00CD57BD"/>
    <w:rsid w:val="00CD697A"/>
    <w:rsid w:val="00CE0AF5"/>
    <w:rsid w:val="00CE1245"/>
    <w:rsid w:val="00CE24D3"/>
    <w:rsid w:val="00CE429B"/>
    <w:rsid w:val="00CE6A35"/>
    <w:rsid w:val="00CE79E7"/>
    <w:rsid w:val="00CF024F"/>
    <w:rsid w:val="00CF2A39"/>
    <w:rsid w:val="00CF6D01"/>
    <w:rsid w:val="00D0112B"/>
    <w:rsid w:val="00D027D1"/>
    <w:rsid w:val="00D02ACC"/>
    <w:rsid w:val="00D03CA3"/>
    <w:rsid w:val="00D0686C"/>
    <w:rsid w:val="00D06ED5"/>
    <w:rsid w:val="00D078D9"/>
    <w:rsid w:val="00D125AD"/>
    <w:rsid w:val="00D134AE"/>
    <w:rsid w:val="00D13545"/>
    <w:rsid w:val="00D14033"/>
    <w:rsid w:val="00D1454F"/>
    <w:rsid w:val="00D146DB"/>
    <w:rsid w:val="00D17EA3"/>
    <w:rsid w:val="00D304A8"/>
    <w:rsid w:val="00D323EC"/>
    <w:rsid w:val="00D325B1"/>
    <w:rsid w:val="00D33EE4"/>
    <w:rsid w:val="00D34692"/>
    <w:rsid w:val="00D35F4D"/>
    <w:rsid w:val="00D36A63"/>
    <w:rsid w:val="00D36D77"/>
    <w:rsid w:val="00D43497"/>
    <w:rsid w:val="00D43C6F"/>
    <w:rsid w:val="00D44BFE"/>
    <w:rsid w:val="00D45AEB"/>
    <w:rsid w:val="00D45E60"/>
    <w:rsid w:val="00D514C4"/>
    <w:rsid w:val="00D521DF"/>
    <w:rsid w:val="00D52E3F"/>
    <w:rsid w:val="00D553C9"/>
    <w:rsid w:val="00D56A42"/>
    <w:rsid w:val="00D57078"/>
    <w:rsid w:val="00D57104"/>
    <w:rsid w:val="00D5777E"/>
    <w:rsid w:val="00D579FD"/>
    <w:rsid w:val="00D60555"/>
    <w:rsid w:val="00D621CA"/>
    <w:rsid w:val="00D70390"/>
    <w:rsid w:val="00D7142F"/>
    <w:rsid w:val="00D721BF"/>
    <w:rsid w:val="00D73FD5"/>
    <w:rsid w:val="00D74209"/>
    <w:rsid w:val="00D76701"/>
    <w:rsid w:val="00D803C5"/>
    <w:rsid w:val="00D80633"/>
    <w:rsid w:val="00D81F23"/>
    <w:rsid w:val="00D82917"/>
    <w:rsid w:val="00D8574B"/>
    <w:rsid w:val="00D87069"/>
    <w:rsid w:val="00D871F0"/>
    <w:rsid w:val="00D87949"/>
    <w:rsid w:val="00D90060"/>
    <w:rsid w:val="00D92A5A"/>
    <w:rsid w:val="00D9361F"/>
    <w:rsid w:val="00D95479"/>
    <w:rsid w:val="00D96FB7"/>
    <w:rsid w:val="00D97009"/>
    <w:rsid w:val="00D97EB0"/>
    <w:rsid w:val="00DA274C"/>
    <w:rsid w:val="00DA3D87"/>
    <w:rsid w:val="00DA459D"/>
    <w:rsid w:val="00DA5D56"/>
    <w:rsid w:val="00DA6776"/>
    <w:rsid w:val="00DA67D6"/>
    <w:rsid w:val="00DA74F1"/>
    <w:rsid w:val="00DB14D6"/>
    <w:rsid w:val="00DB1F98"/>
    <w:rsid w:val="00DB247F"/>
    <w:rsid w:val="00DB3AE5"/>
    <w:rsid w:val="00DB6F04"/>
    <w:rsid w:val="00DB79ED"/>
    <w:rsid w:val="00DB7ED9"/>
    <w:rsid w:val="00DC06D6"/>
    <w:rsid w:val="00DC3EA9"/>
    <w:rsid w:val="00DC41B6"/>
    <w:rsid w:val="00DC4364"/>
    <w:rsid w:val="00DC4E00"/>
    <w:rsid w:val="00DC69FD"/>
    <w:rsid w:val="00DC7964"/>
    <w:rsid w:val="00DD295B"/>
    <w:rsid w:val="00DD34D6"/>
    <w:rsid w:val="00DD6393"/>
    <w:rsid w:val="00DD6D64"/>
    <w:rsid w:val="00DE0EEC"/>
    <w:rsid w:val="00DE1F97"/>
    <w:rsid w:val="00DE2594"/>
    <w:rsid w:val="00DE3676"/>
    <w:rsid w:val="00DE64E8"/>
    <w:rsid w:val="00DE6B9B"/>
    <w:rsid w:val="00DE7328"/>
    <w:rsid w:val="00DF0E11"/>
    <w:rsid w:val="00DF389A"/>
    <w:rsid w:val="00DF41FA"/>
    <w:rsid w:val="00DF615F"/>
    <w:rsid w:val="00DF6C4A"/>
    <w:rsid w:val="00E00879"/>
    <w:rsid w:val="00E01721"/>
    <w:rsid w:val="00E0653E"/>
    <w:rsid w:val="00E0778C"/>
    <w:rsid w:val="00E10A12"/>
    <w:rsid w:val="00E145FC"/>
    <w:rsid w:val="00E148D8"/>
    <w:rsid w:val="00E14BB1"/>
    <w:rsid w:val="00E155B4"/>
    <w:rsid w:val="00E16853"/>
    <w:rsid w:val="00E2007D"/>
    <w:rsid w:val="00E21561"/>
    <w:rsid w:val="00E25AD0"/>
    <w:rsid w:val="00E25EAD"/>
    <w:rsid w:val="00E26973"/>
    <w:rsid w:val="00E278AD"/>
    <w:rsid w:val="00E31124"/>
    <w:rsid w:val="00E31147"/>
    <w:rsid w:val="00E331C9"/>
    <w:rsid w:val="00E33AE3"/>
    <w:rsid w:val="00E34B87"/>
    <w:rsid w:val="00E36EF8"/>
    <w:rsid w:val="00E377F8"/>
    <w:rsid w:val="00E419B4"/>
    <w:rsid w:val="00E44F5B"/>
    <w:rsid w:val="00E4741C"/>
    <w:rsid w:val="00E500CB"/>
    <w:rsid w:val="00E513BC"/>
    <w:rsid w:val="00E5360C"/>
    <w:rsid w:val="00E55109"/>
    <w:rsid w:val="00E56040"/>
    <w:rsid w:val="00E56AC3"/>
    <w:rsid w:val="00E603C6"/>
    <w:rsid w:val="00E603F3"/>
    <w:rsid w:val="00E623D5"/>
    <w:rsid w:val="00E625F3"/>
    <w:rsid w:val="00E62BB3"/>
    <w:rsid w:val="00E65B89"/>
    <w:rsid w:val="00E66F7F"/>
    <w:rsid w:val="00E672EC"/>
    <w:rsid w:val="00E67824"/>
    <w:rsid w:val="00E70198"/>
    <w:rsid w:val="00E81366"/>
    <w:rsid w:val="00E852C5"/>
    <w:rsid w:val="00E87990"/>
    <w:rsid w:val="00E90D7C"/>
    <w:rsid w:val="00E92226"/>
    <w:rsid w:val="00E939B2"/>
    <w:rsid w:val="00E94FB1"/>
    <w:rsid w:val="00E951C8"/>
    <w:rsid w:val="00E963A1"/>
    <w:rsid w:val="00EA04C5"/>
    <w:rsid w:val="00EA188E"/>
    <w:rsid w:val="00EA25B7"/>
    <w:rsid w:val="00EA26DF"/>
    <w:rsid w:val="00EA3374"/>
    <w:rsid w:val="00EA34FF"/>
    <w:rsid w:val="00EA595C"/>
    <w:rsid w:val="00EB0E5E"/>
    <w:rsid w:val="00EB12A4"/>
    <w:rsid w:val="00EB1522"/>
    <w:rsid w:val="00EB2CC0"/>
    <w:rsid w:val="00EB391E"/>
    <w:rsid w:val="00EB3BBC"/>
    <w:rsid w:val="00EB5475"/>
    <w:rsid w:val="00EB75CF"/>
    <w:rsid w:val="00EC1251"/>
    <w:rsid w:val="00EC22DD"/>
    <w:rsid w:val="00EC2944"/>
    <w:rsid w:val="00EC6A51"/>
    <w:rsid w:val="00EC7242"/>
    <w:rsid w:val="00ED0F5C"/>
    <w:rsid w:val="00ED2FF6"/>
    <w:rsid w:val="00ED52BF"/>
    <w:rsid w:val="00EE1984"/>
    <w:rsid w:val="00EE20F9"/>
    <w:rsid w:val="00EE3E8E"/>
    <w:rsid w:val="00EE4990"/>
    <w:rsid w:val="00EE621D"/>
    <w:rsid w:val="00EE79DF"/>
    <w:rsid w:val="00EF02F2"/>
    <w:rsid w:val="00EF220B"/>
    <w:rsid w:val="00EF3D43"/>
    <w:rsid w:val="00F04C20"/>
    <w:rsid w:val="00F0552C"/>
    <w:rsid w:val="00F06080"/>
    <w:rsid w:val="00F0724D"/>
    <w:rsid w:val="00F07B71"/>
    <w:rsid w:val="00F07D33"/>
    <w:rsid w:val="00F10EB7"/>
    <w:rsid w:val="00F15B4D"/>
    <w:rsid w:val="00F15BB8"/>
    <w:rsid w:val="00F16055"/>
    <w:rsid w:val="00F23248"/>
    <w:rsid w:val="00F242D9"/>
    <w:rsid w:val="00F24DD3"/>
    <w:rsid w:val="00F25AF7"/>
    <w:rsid w:val="00F27375"/>
    <w:rsid w:val="00F278E1"/>
    <w:rsid w:val="00F279C9"/>
    <w:rsid w:val="00F3313C"/>
    <w:rsid w:val="00F3517F"/>
    <w:rsid w:val="00F35D35"/>
    <w:rsid w:val="00F36609"/>
    <w:rsid w:val="00F37B63"/>
    <w:rsid w:val="00F41930"/>
    <w:rsid w:val="00F451B7"/>
    <w:rsid w:val="00F45EE4"/>
    <w:rsid w:val="00F47D63"/>
    <w:rsid w:val="00F522FE"/>
    <w:rsid w:val="00F53B9D"/>
    <w:rsid w:val="00F56911"/>
    <w:rsid w:val="00F60AED"/>
    <w:rsid w:val="00F61E63"/>
    <w:rsid w:val="00F61FF4"/>
    <w:rsid w:val="00F6240F"/>
    <w:rsid w:val="00F652E4"/>
    <w:rsid w:val="00F6573E"/>
    <w:rsid w:val="00F669B6"/>
    <w:rsid w:val="00F66C84"/>
    <w:rsid w:val="00F674CD"/>
    <w:rsid w:val="00F72538"/>
    <w:rsid w:val="00F738A1"/>
    <w:rsid w:val="00F7722C"/>
    <w:rsid w:val="00F7776A"/>
    <w:rsid w:val="00F83730"/>
    <w:rsid w:val="00F8436B"/>
    <w:rsid w:val="00F8629D"/>
    <w:rsid w:val="00F865C1"/>
    <w:rsid w:val="00F87925"/>
    <w:rsid w:val="00F91B8E"/>
    <w:rsid w:val="00F94724"/>
    <w:rsid w:val="00F95158"/>
    <w:rsid w:val="00F9521C"/>
    <w:rsid w:val="00F96D00"/>
    <w:rsid w:val="00F96DF4"/>
    <w:rsid w:val="00FA10C9"/>
    <w:rsid w:val="00FA11B6"/>
    <w:rsid w:val="00FA3D5D"/>
    <w:rsid w:val="00FA58D3"/>
    <w:rsid w:val="00FA5CE1"/>
    <w:rsid w:val="00FA7803"/>
    <w:rsid w:val="00FA7985"/>
    <w:rsid w:val="00FB08F7"/>
    <w:rsid w:val="00FB165C"/>
    <w:rsid w:val="00FB2B1E"/>
    <w:rsid w:val="00FB2E3E"/>
    <w:rsid w:val="00FB3B95"/>
    <w:rsid w:val="00FB4A4F"/>
    <w:rsid w:val="00FB713E"/>
    <w:rsid w:val="00FB7944"/>
    <w:rsid w:val="00FC0127"/>
    <w:rsid w:val="00FC14E7"/>
    <w:rsid w:val="00FC2D33"/>
    <w:rsid w:val="00FC332F"/>
    <w:rsid w:val="00FC3F2A"/>
    <w:rsid w:val="00FC4EA9"/>
    <w:rsid w:val="00FC5C72"/>
    <w:rsid w:val="00FC7992"/>
    <w:rsid w:val="00FD0337"/>
    <w:rsid w:val="00FD102B"/>
    <w:rsid w:val="00FD2F23"/>
    <w:rsid w:val="00FD2FAA"/>
    <w:rsid w:val="00FD6629"/>
    <w:rsid w:val="00FD6856"/>
    <w:rsid w:val="00FD7FA8"/>
    <w:rsid w:val="00FE2636"/>
    <w:rsid w:val="00FE3A92"/>
    <w:rsid w:val="00FE4287"/>
    <w:rsid w:val="00FE4490"/>
    <w:rsid w:val="00FE47BC"/>
    <w:rsid w:val="00FE52E6"/>
    <w:rsid w:val="00FE53FC"/>
    <w:rsid w:val="00FF4080"/>
    <w:rsid w:val="00FF722A"/>
    <w:rsid w:val="00FF7AE1"/>
    <w:rsid w:val="01395070"/>
    <w:rsid w:val="0160204D"/>
    <w:rsid w:val="02861966"/>
    <w:rsid w:val="02B141DB"/>
    <w:rsid w:val="030719A3"/>
    <w:rsid w:val="039532DB"/>
    <w:rsid w:val="03EE3EEF"/>
    <w:rsid w:val="05BB6C22"/>
    <w:rsid w:val="066C4EE9"/>
    <w:rsid w:val="07EE58D3"/>
    <w:rsid w:val="087C5031"/>
    <w:rsid w:val="0AE75944"/>
    <w:rsid w:val="0B6C7DF0"/>
    <w:rsid w:val="0BC8771C"/>
    <w:rsid w:val="0CE51D21"/>
    <w:rsid w:val="0D201A33"/>
    <w:rsid w:val="0DBE59A8"/>
    <w:rsid w:val="0E5B4877"/>
    <w:rsid w:val="0E6A0EC1"/>
    <w:rsid w:val="100F5D41"/>
    <w:rsid w:val="12DA1AE3"/>
    <w:rsid w:val="13996D22"/>
    <w:rsid w:val="140432BB"/>
    <w:rsid w:val="15133F0C"/>
    <w:rsid w:val="155D0ED5"/>
    <w:rsid w:val="177B7F9C"/>
    <w:rsid w:val="17B32243"/>
    <w:rsid w:val="17E4768B"/>
    <w:rsid w:val="18253800"/>
    <w:rsid w:val="186D38B5"/>
    <w:rsid w:val="18FC651E"/>
    <w:rsid w:val="1A8769F4"/>
    <w:rsid w:val="1B631EDB"/>
    <w:rsid w:val="1BA64EB3"/>
    <w:rsid w:val="1DC85359"/>
    <w:rsid w:val="1E4363A1"/>
    <w:rsid w:val="1EFB6669"/>
    <w:rsid w:val="1F775289"/>
    <w:rsid w:val="20110C8B"/>
    <w:rsid w:val="202F346E"/>
    <w:rsid w:val="205B674A"/>
    <w:rsid w:val="205F0EB5"/>
    <w:rsid w:val="2195536B"/>
    <w:rsid w:val="219C0FD7"/>
    <w:rsid w:val="21C108CE"/>
    <w:rsid w:val="21F904ED"/>
    <w:rsid w:val="22681100"/>
    <w:rsid w:val="22EF5136"/>
    <w:rsid w:val="235126AF"/>
    <w:rsid w:val="23E12CD1"/>
    <w:rsid w:val="287B67ED"/>
    <w:rsid w:val="29BC2505"/>
    <w:rsid w:val="2A5F2BA2"/>
    <w:rsid w:val="2A6759EA"/>
    <w:rsid w:val="2AF84EE9"/>
    <w:rsid w:val="2B9F2949"/>
    <w:rsid w:val="2BFB234C"/>
    <w:rsid w:val="2C2A0D51"/>
    <w:rsid w:val="2D55515B"/>
    <w:rsid w:val="2FDD143C"/>
    <w:rsid w:val="30397C60"/>
    <w:rsid w:val="32EA3D66"/>
    <w:rsid w:val="336318E4"/>
    <w:rsid w:val="3527514B"/>
    <w:rsid w:val="37EE272B"/>
    <w:rsid w:val="382C1B56"/>
    <w:rsid w:val="38561853"/>
    <w:rsid w:val="38707BA6"/>
    <w:rsid w:val="38C8225A"/>
    <w:rsid w:val="39053F7C"/>
    <w:rsid w:val="391F00CC"/>
    <w:rsid w:val="39E16BC9"/>
    <w:rsid w:val="3B2D1D41"/>
    <w:rsid w:val="3BBD325C"/>
    <w:rsid w:val="3D2263DC"/>
    <w:rsid w:val="3D365E3D"/>
    <w:rsid w:val="3D790250"/>
    <w:rsid w:val="3DE47B36"/>
    <w:rsid w:val="3EDA3EBE"/>
    <w:rsid w:val="3F0A17D3"/>
    <w:rsid w:val="40271F5C"/>
    <w:rsid w:val="419F3BB9"/>
    <w:rsid w:val="41DF182F"/>
    <w:rsid w:val="42527161"/>
    <w:rsid w:val="431B6390"/>
    <w:rsid w:val="431D7CD6"/>
    <w:rsid w:val="43432C09"/>
    <w:rsid w:val="43D67F21"/>
    <w:rsid w:val="441A2EE9"/>
    <w:rsid w:val="44622611"/>
    <w:rsid w:val="45DF42F9"/>
    <w:rsid w:val="468716DE"/>
    <w:rsid w:val="47136D96"/>
    <w:rsid w:val="47637D1D"/>
    <w:rsid w:val="48103D1A"/>
    <w:rsid w:val="49ED7327"/>
    <w:rsid w:val="4A547EF5"/>
    <w:rsid w:val="4A6E2C61"/>
    <w:rsid w:val="4BF47196"/>
    <w:rsid w:val="4D13189E"/>
    <w:rsid w:val="4D6F4199"/>
    <w:rsid w:val="4FF754A7"/>
    <w:rsid w:val="504B67A7"/>
    <w:rsid w:val="50BB64D4"/>
    <w:rsid w:val="50C80BF1"/>
    <w:rsid w:val="51273B6A"/>
    <w:rsid w:val="512E4BEA"/>
    <w:rsid w:val="516A04AA"/>
    <w:rsid w:val="5285690C"/>
    <w:rsid w:val="52E43EB4"/>
    <w:rsid w:val="5353675F"/>
    <w:rsid w:val="5371004F"/>
    <w:rsid w:val="53A902ED"/>
    <w:rsid w:val="54362309"/>
    <w:rsid w:val="560D62B2"/>
    <w:rsid w:val="56E568B0"/>
    <w:rsid w:val="5758346D"/>
    <w:rsid w:val="58CF0EFC"/>
    <w:rsid w:val="591630B8"/>
    <w:rsid w:val="59E52814"/>
    <w:rsid w:val="5B5E6759"/>
    <w:rsid w:val="5BAA5AC3"/>
    <w:rsid w:val="5BC05EF6"/>
    <w:rsid w:val="5BEC7E8A"/>
    <w:rsid w:val="5C702869"/>
    <w:rsid w:val="5CD10E2D"/>
    <w:rsid w:val="5CF1327E"/>
    <w:rsid w:val="5E6B161E"/>
    <w:rsid w:val="5ED33F50"/>
    <w:rsid w:val="5EFA0B0F"/>
    <w:rsid w:val="5EFF6126"/>
    <w:rsid w:val="5F344365"/>
    <w:rsid w:val="5FCE4022"/>
    <w:rsid w:val="5FDA2FCE"/>
    <w:rsid w:val="5FFE3F08"/>
    <w:rsid w:val="60791B74"/>
    <w:rsid w:val="60D158A0"/>
    <w:rsid w:val="61176541"/>
    <w:rsid w:val="616B5B0B"/>
    <w:rsid w:val="623065F6"/>
    <w:rsid w:val="623E19F7"/>
    <w:rsid w:val="644A0171"/>
    <w:rsid w:val="65B512EC"/>
    <w:rsid w:val="668B12DA"/>
    <w:rsid w:val="66B52B5D"/>
    <w:rsid w:val="672A416E"/>
    <w:rsid w:val="677F388C"/>
    <w:rsid w:val="687642D7"/>
    <w:rsid w:val="69A03CD6"/>
    <w:rsid w:val="6AB4325B"/>
    <w:rsid w:val="6B5E2426"/>
    <w:rsid w:val="6BCB7ABB"/>
    <w:rsid w:val="6DFE16EC"/>
    <w:rsid w:val="6EC57541"/>
    <w:rsid w:val="6ED924EF"/>
    <w:rsid w:val="6F277C27"/>
    <w:rsid w:val="70270861"/>
    <w:rsid w:val="70D553B5"/>
    <w:rsid w:val="71301039"/>
    <w:rsid w:val="71640AAC"/>
    <w:rsid w:val="716F0EE9"/>
    <w:rsid w:val="72840A4E"/>
    <w:rsid w:val="7297380C"/>
    <w:rsid w:val="72B535F9"/>
    <w:rsid w:val="74016C26"/>
    <w:rsid w:val="744A0A36"/>
    <w:rsid w:val="753D05EE"/>
    <w:rsid w:val="762B6337"/>
    <w:rsid w:val="76B24182"/>
    <w:rsid w:val="76D4164C"/>
    <w:rsid w:val="77277B70"/>
    <w:rsid w:val="77D55FB4"/>
    <w:rsid w:val="78816AB1"/>
    <w:rsid w:val="78900522"/>
    <w:rsid w:val="78D926EB"/>
    <w:rsid w:val="791F1D21"/>
    <w:rsid w:val="796E28C4"/>
    <w:rsid w:val="79AE27CB"/>
    <w:rsid w:val="79CB512B"/>
    <w:rsid w:val="7AF66D73"/>
    <w:rsid w:val="7B751605"/>
    <w:rsid w:val="7B7535A0"/>
    <w:rsid w:val="7B756D25"/>
    <w:rsid w:val="7D4C7BCD"/>
    <w:rsid w:val="7DA41F1A"/>
    <w:rsid w:val="7E9C4F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4"/>
    <w:autoRedefine/>
    <w:semiHidden/>
    <w:unhideWhenUsed/>
    <w:qFormat/>
    <w:uiPriority w:val="0"/>
    <w:rPr>
      <w:rFonts w:ascii="宋体"/>
      <w:sz w:val="18"/>
      <w:szCs w:val="18"/>
    </w:rPr>
  </w:style>
  <w:style w:type="paragraph" w:styleId="4">
    <w:name w:val="annotation text"/>
    <w:basedOn w:val="1"/>
    <w:autoRedefine/>
    <w:semiHidden/>
    <w:unhideWhenUsed/>
    <w:qFormat/>
    <w:uiPriority w:val="99"/>
    <w:pPr>
      <w:jc w:val="left"/>
    </w:pPr>
  </w:style>
  <w:style w:type="paragraph" w:styleId="5">
    <w:name w:val="toc 3"/>
    <w:basedOn w:val="1"/>
    <w:next w:val="1"/>
    <w:autoRedefine/>
    <w:semiHidden/>
    <w:qFormat/>
    <w:uiPriority w:val="0"/>
    <w:pPr>
      <w:ind w:left="840" w:leftChars="400"/>
    </w:pPr>
  </w:style>
  <w:style w:type="paragraph" w:styleId="6">
    <w:name w:val="Date"/>
    <w:basedOn w:val="1"/>
    <w:next w:val="1"/>
    <w:autoRedefine/>
    <w:qFormat/>
    <w:uiPriority w:val="0"/>
    <w:pPr>
      <w:ind w:left="100" w:leftChars="2500"/>
    </w:p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qFormat/>
    <w:uiPriority w:val="0"/>
  </w:style>
  <w:style w:type="paragraph" w:styleId="11">
    <w:name w:val="toc 2"/>
    <w:basedOn w:val="1"/>
    <w:next w:val="1"/>
    <w:autoRedefine/>
    <w:semiHidden/>
    <w:qFormat/>
    <w:uiPriority w:val="0"/>
    <w:pPr>
      <w:ind w:left="420" w:leftChars="200"/>
    </w:pPr>
  </w:style>
  <w:style w:type="paragraph" w:styleId="12">
    <w:name w:val="Normal (Web)"/>
    <w:basedOn w:val="1"/>
    <w:autoRedefine/>
    <w:unhideWhenUsed/>
    <w:qFormat/>
    <w:uiPriority w:val="99"/>
    <w:pPr>
      <w:widowControl/>
      <w:spacing w:after="125"/>
      <w:jc w:val="left"/>
    </w:pPr>
    <w:rPr>
      <w:rFonts w:ascii="宋体" w:hAnsi="宋体" w:cs="宋体"/>
      <w:kern w:val="0"/>
      <w:sz w:val="24"/>
    </w:rPr>
  </w:style>
  <w:style w:type="table" w:styleId="14">
    <w:name w:val="Table Grid"/>
    <w:basedOn w:val="1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styleId="18">
    <w:name w:val="Hyperlink"/>
    <w:autoRedefine/>
    <w:qFormat/>
    <w:uiPriority w:val="0"/>
    <w:rPr>
      <w:color w:val="0000FF"/>
      <w:u w:val="single"/>
    </w:rPr>
  </w:style>
  <w:style w:type="paragraph" w:customStyle="1" w:styleId="19">
    <w:name w:val="Char"/>
    <w:basedOn w:val="1"/>
    <w:autoRedefine/>
    <w:qFormat/>
    <w:uiPriority w:val="0"/>
    <w:rPr>
      <w:rFonts w:ascii="宋体" w:hAnsi="宋体" w:cs="Courier New"/>
      <w:sz w:val="32"/>
      <w:szCs w:val="32"/>
    </w:rPr>
  </w:style>
  <w:style w:type="character" w:customStyle="1" w:styleId="20">
    <w:name w:val="页眉 字符"/>
    <w:link w:val="9"/>
    <w:autoRedefine/>
    <w:qFormat/>
    <w:uiPriority w:val="0"/>
    <w:rPr>
      <w:kern w:val="2"/>
      <w:sz w:val="18"/>
      <w:szCs w:val="18"/>
    </w:rPr>
  </w:style>
  <w:style w:type="character" w:customStyle="1" w:styleId="21">
    <w:name w:val="明显强调1"/>
    <w:autoRedefine/>
    <w:qFormat/>
    <w:uiPriority w:val="21"/>
    <w:rPr>
      <w:b/>
      <w:bCs/>
      <w:i/>
      <w:iCs/>
      <w:color w:val="4F81BD"/>
    </w:rPr>
  </w:style>
  <w:style w:type="paragraph" w:customStyle="1" w:styleId="22">
    <w:name w:val="p0"/>
    <w:basedOn w:val="1"/>
    <w:autoRedefine/>
    <w:qFormat/>
    <w:uiPriority w:val="0"/>
    <w:pPr>
      <w:widowControl/>
    </w:pPr>
    <w:rPr>
      <w:kern w:val="0"/>
      <w:szCs w:val="21"/>
    </w:rPr>
  </w:style>
  <w:style w:type="paragraph" w:customStyle="1" w:styleId="23">
    <w:name w:val="xl2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ahoma" w:hAnsi="Tahoma" w:cs="Tahoma"/>
      <w:b/>
      <w:bCs/>
      <w:kern w:val="0"/>
      <w:sz w:val="20"/>
      <w:szCs w:val="20"/>
    </w:rPr>
  </w:style>
  <w:style w:type="character" w:customStyle="1" w:styleId="24">
    <w:name w:val="文档结构图 字符"/>
    <w:basedOn w:val="15"/>
    <w:link w:val="3"/>
    <w:autoRedefine/>
    <w:semiHidden/>
    <w:qFormat/>
    <w:uiPriority w:val="0"/>
    <w:rPr>
      <w:rFonts w:ascii="宋体"/>
      <w:kern w:val="2"/>
      <w:sz w:val="18"/>
      <w:szCs w:val="18"/>
    </w:rPr>
  </w:style>
  <w:style w:type="character" w:customStyle="1" w:styleId="25">
    <w:name w:val="标题 1 字符"/>
    <w:basedOn w:val="15"/>
    <w:link w:val="2"/>
    <w:autoRedefine/>
    <w:qFormat/>
    <w:uiPriority w:val="0"/>
    <w:rPr>
      <w:b/>
      <w:bCs/>
      <w:kern w:val="44"/>
      <w:sz w:val="44"/>
      <w:szCs w:val="44"/>
    </w:rPr>
  </w:style>
  <w:style w:type="paragraph"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2907-A287-4993-8E87-1808323AD00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1465</Words>
  <Characters>8355</Characters>
  <Lines>69</Lines>
  <Paragraphs>19</Paragraphs>
  <TotalTime>2</TotalTime>
  <ScaleCrop>false</ScaleCrop>
  <LinksUpToDate>false</LinksUpToDate>
  <CharactersWithSpaces>9801</CharactersWithSpaces>
  <Application>WPS Office_12.1.0.16388_F1E327BC-269C-435d-A152-05C5408002CA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2024-03-23T04:22:00Z</dcterms:created>
  <dc:creator>MC SYSTEM</dc:creator>
  <cp:lastModifiedBy>lenovo</cp:lastModifiedBy>
  <cp:lastPrinted>2023-03-21T07:40:00Z</cp:lastPrinted>
  <dcterms:modified xsi:type="dcterms:W3CDTF">2024-03-23T07:04:05Z</dcterms:modified>
  <dc:title>土建学院2007年硕士研究生复试录取工作实施细则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325B74B3A64B403EAC8767C9587CCEBF_13</vt:lpwstr>
  </property>
</Properties>
</file>