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1929"/>
        <w:tblW w:w="1417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2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4174" w:type="dxa"/>
            <w:gridSpan w:val="2"/>
            <w:tcBorders>
              <w:top w:val="single" w:color="000000" w:sz="4" w:space="0"/>
              <w:left w:val="single" w:color="000000" w:sz="4" w:space="0"/>
              <w:bottom w:val="single" w:color="000000" w:sz="4" w:space="0"/>
              <w:right w:val="single" w:color="000000" w:sz="4" w:space="0"/>
            </w:tcBorders>
            <w:vAlign w:val="top"/>
          </w:tcPr>
          <w:p>
            <w:pPr>
              <w:pStyle w:val="16"/>
              <w:widowControl/>
              <w:shd w:val="clear" w:color="auto" w:fill="FFFFFF"/>
              <w:spacing w:before="0" w:after="0"/>
              <w:jc w:val="center"/>
              <w:textAlignment w:val="baseline"/>
              <w:rPr>
                <w:rStyle w:val="8"/>
                <w:rFonts w:ascii="仿宋" w:hAnsi="仿宋" w:eastAsia="仿宋"/>
                <w:b/>
                <w:color w:val="333333"/>
                <w:kern w:val="0"/>
                <w:sz w:val="32"/>
                <w:szCs w:val="32"/>
                <w:lang w:val="en-US" w:eastAsia="zh-CN" w:bidi="ar-SA"/>
              </w:rPr>
            </w:pPr>
            <w:r>
              <w:rPr>
                <w:rStyle w:val="8"/>
                <w:rFonts w:ascii="仿宋" w:hAnsi="仿宋" w:eastAsia="仿宋"/>
                <w:b/>
                <w:color w:val="333333"/>
                <w:kern w:val="0"/>
                <w:sz w:val="32"/>
                <w:szCs w:val="32"/>
                <w:lang w:val="en-US" w:eastAsia="zh-CN" w:bidi="ar-SA"/>
              </w:rPr>
              <w:t>《专业综合》考试大纲</w:t>
            </w:r>
          </w:p>
          <w:p>
            <w:pPr>
              <w:jc w:val="both"/>
              <w:textAlignment w:val="baseline"/>
              <w:rPr>
                <w:rStyle w:val="8"/>
                <w:rFonts w:ascii="??" w:hAnsi="??"/>
                <w:color w:val="333333"/>
                <w:kern w:val="2"/>
                <w:sz w:val="18"/>
                <w:szCs w:val="18"/>
                <w:lang w:val="en-US" w:eastAsia="zh-CN" w:bidi="ar-SA"/>
              </w:rPr>
            </w:pPr>
            <w:r>
              <w:rPr>
                <w:rStyle w:val="8"/>
                <w:rFonts w:ascii="??" w:hAnsi="??"/>
                <w:b/>
                <w:color w:val="333333"/>
                <w:kern w:val="2"/>
                <w:sz w:val="21"/>
                <w:szCs w:val="21"/>
                <w:lang w:val="en-US" w:eastAsia="zh-CN" w:bidi="ar-SA"/>
              </w:rPr>
              <w:t>适用专业名称</w:t>
            </w:r>
            <w:r>
              <w:rPr>
                <w:rStyle w:val="8"/>
                <w:rFonts w:ascii="??" w:hAnsi="??"/>
                <w:b/>
                <w:color w:val="333333"/>
                <w:kern w:val="2"/>
                <w:sz w:val="18"/>
                <w:szCs w:val="18"/>
                <w:lang w:val="en-US" w:eastAsia="zh-CN" w:bidi="ar-SA"/>
              </w:rPr>
              <w:t>：</w:t>
            </w:r>
            <w:r>
              <w:rPr>
                <w:rStyle w:val="8"/>
                <w:rFonts w:ascii="??" w:hAnsi="??"/>
                <w:color w:val="000000"/>
                <w:kern w:val="2"/>
                <w:sz w:val="21"/>
                <w:szCs w:val="21"/>
                <w:lang w:val="en-US" w:eastAsia="zh-CN" w:bidi="ar-SA"/>
              </w:rPr>
              <w:t>会计硕士MPAcc</w:t>
            </w:r>
            <w:r>
              <w:rPr>
                <w:rStyle w:val="8"/>
                <w:rFonts w:ascii="??" w:hAnsi="??"/>
                <w:color w:val="333333"/>
                <w:kern w:val="2"/>
                <w:sz w:val="21"/>
                <w:szCs w:val="21"/>
                <w:lang w:val="en-US" w:eastAsia="zh-CN" w:bidi="ar-SA"/>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809"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8"/>
                <w:rFonts w:ascii="宋体"/>
                <w:b/>
                <w:kern w:val="2"/>
                <w:sz w:val="21"/>
                <w:szCs w:val="21"/>
                <w:lang w:val="en-US" w:eastAsia="zh-CN" w:bidi="ar-SA"/>
              </w:rPr>
            </w:pPr>
            <w:r>
              <w:rPr>
                <w:rStyle w:val="8"/>
                <w:b/>
                <w:color w:val="0000FF"/>
                <w:kern w:val="2"/>
                <w:sz w:val="21"/>
                <w:szCs w:val="21"/>
                <w:lang w:val="en-US" w:eastAsia="zh-CN" w:bidi="ar-SA"/>
              </w:rPr>
              <w:t>科目代码</w:t>
            </w:r>
            <w:r>
              <w:rPr>
                <w:rStyle w:val="8"/>
                <w:b/>
                <w:kern w:val="2"/>
                <w:sz w:val="21"/>
                <w:szCs w:val="21"/>
                <w:lang w:val="en-US" w:eastAsia="zh-CN" w:bidi="ar-SA"/>
              </w:rPr>
              <w:t>及名称</w:t>
            </w:r>
          </w:p>
        </w:tc>
        <w:tc>
          <w:tcPr>
            <w:tcW w:w="12365"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8"/>
                <w:b/>
                <w:kern w:val="2"/>
                <w:sz w:val="21"/>
                <w:szCs w:val="21"/>
                <w:lang w:val="en-US" w:eastAsia="zh-CN" w:bidi="ar-SA"/>
              </w:rPr>
            </w:pPr>
            <w:r>
              <w:rPr>
                <w:rStyle w:val="8"/>
                <w:b/>
                <w:kern w:val="2"/>
                <w:sz w:val="21"/>
                <w:szCs w:val="21"/>
                <w:lang w:val="en-US" w:eastAsia="zh-CN" w:bidi="ar-SA"/>
              </w:rPr>
              <w:t xml:space="preserve">考试大纲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9" w:hRule="atLeast"/>
        </w:trPr>
        <w:tc>
          <w:tcPr>
            <w:tcW w:w="1809" w:type="dxa"/>
            <w:tcBorders>
              <w:top w:val="single" w:color="000000" w:sz="4" w:space="0"/>
              <w:left w:val="single" w:color="000000" w:sz="4" w:space="0"/>
              <w:bottom w:val="single" w:color="000000" w:sz="4" w:space="0"/>
              <w:right w:val="single" w:color="000000" w:sz="4" w:space="0"/>
            </w:tcBorders>
            <w:vAlign w:val="top"/>
          </w:tcPr>
          <w:p>
            <w:pPr>
              <w:jc w:val="left"/>
              <w:textAlignment w:val="baseline"/>
              <w:rPr>
                <w:rStyle w:val="8"/>
                <w:rFonts w:eastAsia="宋体"/>
                <w:b/>
                <w:kern w:val="2"/>
                <w:sz w:val="18"/>
                <w:szCs w:val="18"/>
                <w:lang w:val="en-US" w:eastAsia="zh-CN" w:bidi="ar-SA"/>
              </w:rPr>
            </w:pPr>
            <w:r>
              <w:rPr>
                <w:rStyle w:val="8"/>
                <w:rFonts w:hint="eastAsia"/>
                <w:b/>
                <w:kern w:val="2"/>
                <w:sz w:val="18"/>
                <w:szCs w:val="18"/>
                <w:lang w:val="en-US" w:eastAsia="zh-CN" w:bidi="ar-SA"/>
              </w:rPr>
              <w:t>36</w:t>
            </w:r>
            <w:bookmarkStart w:id="0" w:name="_GoBack"/>
            <w:bookmarkEnd w:id="0"/>
            <w:r>
              <w:rPr>
                <w:rStyle w:val="8"/>
                <w:b/>
                <w:kern w:val="2"/>
                <w:sz w:val="18"/>
                <w:szCs w:val="18"/>
                <w:lang w:val="en-US" w:eastAsia="zh-CN" w:bidi="ar-SA"/>
              </w:rPr>
              <w:t>专业综合</w:t>
            </w:r>
          </w:p>
          <w:p>
            <w:pPr>
              <w:jc w:val="both"/>
              <w:textAlignment w:val="baseline"/>
              <w:rPr>
                <w:rStyle w:val="8"/>
                <w:b/>
                <w:color w:val="FF0000"/>
                <w:kern w:val="2"/>
                <w:sz w:val="18"/>
                <w:szCs w:val="18"/>
                <w:lang w:val="en-US" w:eastAsia="zh-CN" w:bidi="ar-SA"/>
              </w:rPr>
            </w:pPr>
          </w:p>
        </w:tc>
        <w:tc>
          <w:tcPr>
            <w:tcW w:w="12365" w:type="dxa"/>
            <w:tcBorders>
              <w:top w:val="single" w:color="000000" w:sz="4" w:space="0"/>
              <w:left w:val="single" w:color="000000" w:sz="4" w:space="0"/>
              <w:bottom w:val="single" w:color="000000" w:sz="4" w:space="0"/>
              <w:right w:val="single" w:color="000000" w:sz="4" w:space="0"/>
            </w:tcBorders>
            <w:vAlign w:val="top"/>
          </w:tcPr>
          <w:p>
            <w:pPr>
              <w:pStyle w:val="17"/>
              <w:widowControl/>
              <w:numPr>
                <w:ilvl w:val="0"/>
                <w:numId w:val="1"/>
              </w:numPr>
              <w:ind w:left="420" w:firstLineChars="0"/>
              <w:textAlignment w:val="baseline"/>
              <w:rPr>
                <w:rStyle w:val="8"/>
                <w:b/>
                <w:sz w:val="18"/>
                <w:szCs w:val="18"/>
              </w:rPr>
            </w:pPr>
            <w:r>
              <w:rPr>
                <w:rStyle w:val="8"/>
                <w:b/>
                <w:sz w:val="18"/>
                <w:szCs w:val="18"/>
              </w:rPr>
              <w:t>考试</w:t>
            </w:r>
            <w:r>
              <w:rPr>
                <w:rStyle w:val="8"/>
                <w:b/>
                <w:sz w:val="18"/>
                <w:szCs w:val="18"/>
                <w:lang w:eastAsia="zh-CN"/>
              </w:rPr>
              <w:t>范围</w:t>
            </w:r>
            <w:r>
              <w:rPr>
                <w:rStyle w:val="8"/>
                <w:b/>
                <w:sz w:val="18"/>
                <w:szCs w:val="18"/>
              </w:rPr>
              <w:t>与要求</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（一）考试涵盖范围</w:t>
            </w:r>
          </w:p>
          <w:p>
            <w:pPr>
              <w:ind w:firstLine="360" w:firstLineChars="200"/>
              <w:jc w:val="both"/>
              <w:textAlignment w:val="baseline"/>
              <w:rPr>
                <w:rStyle w:val="8"/>
                <w:kern w:val="2"/>
                <w:sz w:val="18"/>
                <w:szCs w:val="18"/>
                <w:lang w:val="en-US" w:eastAsia="zh-CN" w:bidi="ar-SA"/>
              </w:rPr>
            </w:pPr>
            <w:r>
              <w:rPr>
                <w:rStyle w:val="8"/>
                <w:kern w:val="2"/>
                <w:sz w:val="18"/>
                <w:szCs w:val="18"/>
                <w:lang w:val="en-US" w:eastAsia="zh-CN" w:bidi="ar-SA"/>
              </w:rPr>
              <w:t>本科目涵盖财务会计、财务管理、成本与管理会计、审计四部分内容。</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（二）考试要求</w:t>
            </w:r>
          </w:p>
          <w:p>
            <w:pPr>
              <w:pStyle w:val="17"/>
              <w:widowControl/>
              <w:ind w:firstLine="360" w:firstLineChars="200"/>
              <w:textAlignment w:val="baseline"/>
              <w:rPr>
                <w:rStyle w:val="8"/>
                <w:sz w:val="18"/>
                <w:szCs w:val="18"/>
                <w:lang w:eastAsia="zh-CN"/>
              </w:rPr>
            </w:pPr>
            <w:r>
              <w:rPr>
                <w:rStyle w:val="8"/>
                <w:kern w:val="2"/>
                <w:sz w:val="18"/>
                <w:szCs w:val="18"/>
                <w:lang w:val="en-US" w:eastAsia="zh-CN" w:bidi="ar-SA"/>
              </w:rPr>
              <w:t>财务会计：</w:t>
            </w:r>
            <w:r>
              <w:rPr>
                <w:rStyle w:val="8"/>
                <w:sz w:val="18"/>
                <w:szCs w:val="18"/>
              </w:rPr>
              <w:t>主要考察考生对会计学专业领域的基本知识，基本理论和基本方法的掌握情况。测试考生对财务会计目标、会计前提、会计要素分类、会计计量属性等的掌握和运用情况，考核考生运用上述会计基本原则、方法进行会计处理的能力，考察考生是否能够灵活运用这些知识、理论和方法分析解决相关的专业问题</w:t>
            </w:r>
            <w:r>
              <w:rPr>
                <w:rStyle w:val="8"/>
                <w:sz w:val="18"/>
                <w:szCs w:val="18"/>
                <w:lang w:eastAsia="zh-CN"/>
              </w:rPr>
              <w:t>。</w:t>
            </w:r>
          </w:p>
          <w:p>
            <w:pPr>
              <w:pStyle w:val="17"/>
              <w:widowControl/>
              <w:ind w:firstLine="360" w:firstLineChars="200"/>
              <w:textAlignment w:val="baseline"/>
              <w:rPr>
                <w:rStyle w:val="8"/>
                <w:kern w:val="2"/>
                <w:sz w:val="18"/>
                <w:szCs w:val="18"/>
                <w:lang w:val="en-US" w:eastAsia="zh-CN" w:bidi="ar-SA"/>
              </w:rPr>
            </w:pPr>
            <w:r>
              <w:rPr>
                <w:rStyle w:val="8"/>
                <w:kern w:val="2"/>
                <w:sz w:val="18"/>
                <w:szCs w:val="18"/>
                <w:lang w:val="en-US" w:eastAsia="zh-CN" w:bidi="ar-SA"/>
              </w:rPr>
              <w:t>财务管理：</w:t>
            </w:r>
            <w:r>
              <w:rPr>
                <w:rStyle w:val="8"/>
                <w:sz w:val="18"/>
                <w:szCs w:val="18"/>
              </w:rPr>
              <w:t>测试考生对财务管理学主要内容：价值分析与财务分析的基本方法；企业筹资管理、投资决策、营运资金管理及股利分配等相关内容的理解掌握程度以及对知识的运用能力。要求考生准确记忆基本概念，理解基本理论，掌握基本计算，并能妥善运用到综合题目的处理中。</w:t>
            </w:r>
          </w:p>
          <w:p>
            <w:pPr>
              <w:pStyle w:val="17"/>
              <w:widowControl/>
              <w:ind w:firstLine="360" w:firstLineChars="200"/>
              <w:textAlignment w:val="baseline"/>
              <w:rPr>
                <w:rStyle w:val="8"/>
                <w:kern w:val="2"/>
                <w:sz w:val="18"/>
                <w:szCs w:val="18"/>
                <w:lang w:val="en-US" w:eastAsia="zh-CN" w:bidi="ar-SA"/>
              </w:rPr>
            </w:pPr>
            <w:r>
              <w:rPr>
                <w:rStyle w:val="8"/>
                <w:kern w:val="2"/>
                <w:sz w:val="18"/>
                <w:szCs w:val="18"/>
                <w:lang w:val="en-US" w:eastAsia="zh-CN" w:bidi="ar-SA"/>
              </w:rPr>
              <w:t>成本与管理会计：</w:t>
            </w:r>
            <w:r>
              <w:rPr>
                <w:rStyle w:val="8"/>
                <w:sz w:val="18"/>
                <w:szCs w:val="18"/>
              </w:rPr>
              <w:t>测试考生对成本与管理会计主要内容：成本与管理会计的基本概念、产品成本核算方法、成本分析与成本管理、本量利分析、经营决策分析等相关理论与方法的理解及掌握程度；对知识的运用能力。要求考生准确记忆基本概念，理解基本理论，掌握基本计算，并能妥善运用到综合题目的处理中。</w:t>
            </w:r>
          </w:p>
          <w:p>
            <w:pPr>
              <w:pStyle w:val="17"/>
              <w:widowControl/>
              <w:ind w:firstLine="360" w:firstLineChars="200"/>
              <w:textAlignment w:val="baseline"/>
              <w:rPr>
                <w:rStyle w:val="8"/>
                <w:sz w:val="18"/>
                <w:szCs w:val="18"/>
                <w:lang w:eastAsia="zh-CN"/>
              </w:rPr>
            </w:pPr>
            <w:r>
              <w:rPr>
                <w:rStyle w:val="8"/>
                <w:kern w:val="2"/>
                <w:sz w:val="18"/>
                <w:szCs w:val="18"/>
                <w:lang w:val="en-US" w:eastAsia="zh-CN" w:bidi="ar-SA"/>
              </w:rPr>
              <w:t>审计：</w:t>
            </w:r>
            <w:r>
              <w:rPr>
                <w:rStyle w:val="8"/>
                <w:sz w:val="18"/>
                <w:szCs w:val="18"/>
              </w:rPr>
              <w:t>测试考生对审计职业规范、审计目标、审计证据、重要性及审计风险等的掌握和运用情况，考核考生运用上述审计基本理论、方法进行业务循环审计处理的能力，考察考生是否能够灵活运用这些知识、理论和方法分析解决相关的专业问题，出具恰当的审计报告。</w:t>
            </w:r>
          </w:p>
          <w:p>
            <w:pPr>
              <w:pStyle w:val="17"/>
              <w:widowControl/>
              <w:numPr>
                <w:ilvl w:val="0"/>
                <w:numId w:val="1"/>
              </w:numPr>
              <w:ind w:left="420" w:firstLineChars="0"/>
              <w:textAlignment w:val="baseline"/>
              <w:rPr>
                <w:rStyle w:val="8"/>
                <w:sz w:val="18"/>
                <w:szCs w:val="18"/>
              </w:rPr>
            </w:pPr>
            <w:r>
              <w:rPr>
                <w:rStyle w:val="8"/>
                <w:b/>
                <w:sz w:val="18"/>
                <w:szCs w:val="18"/>
              </w:rPr>
              <w:t>试卷结构</w:t>
            </w:r>
            <w:r>
              <w:rPr>
                <w:rStyle w:val="8"/>
                <w:sz w:val="18"/>
                <w:szCs w:val="18"/>
              </w:rPr>
              <w:t>（满分100分）</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（一）内容比例</w:t>
            </w:r>
          </w:p>
          <w:p>
            <w:pPr>
              <w:pStyle w:val="17"/>
              <w:widowControl/>
              <w:ind w:left="420" w:firstLineChars="0"/>
              <w:textAlignment w:val="baseline"/>
              <w:rPr>
                <w:rStyle w:val="8"/>
                <w:kern w:val="2"/>
                <w:sz w:val="18"/>
                <w:szCs w:val="18"/>
                <w:lang w:val="en-US" w:eastAsia="zh-CN" w:bidi="ar-SA"/>
              </w:rPr>
            </w:pPr>
            <w:r>
              <w:rPr>
                <w:rStyle w:val="8"/>
                <w:kern w:val="2"/>
                <w:sz w:val="18"/>
                <w:szCs w:val="18"/>
                <w:lang w:val="en-US" w:eastAsia="zh-CN" w:bidi="ar-SA"/>
              </w:rPr>
              <w:t>财务会计占50%、财务管理占20%、成本与管理会计占20%、审计占10%。</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（二）题型比例</w:t>
            </w:r>
          </w:p>
          <w:p>
            <w:pPr>
              <w:ind w:firstLine="360" w:firstLineChars="200"/>
              <w:jc w:val="both"/>
              <w:textAlignment w:val="baseline"/>
              <w:rPr>
                <w:rStyle w:val="8"/>
                <w:rFonts w:ascii="宋体"/>
                <w:kern w:val="0"/>
                <w:sz w:val="18"/>
                <w:szCs w:val="18"/>
                <w:lang w:val="en-US" w:eastAsia="zh-CN" w:bidi="ar-SA"/>
              </w:rPr>
            </w:pPr>
            <w:r>
              <w:rPr>
                <w:rStyle w:val="8"/>
                <w:rFonts w:ascii="宋体"/>
                <w:kern w:val="0"/>
                <w:sz w:val="18"/>
                <w:szCs w:val="18"/>
                <w:lang w:val="en-US" w:eastAsia="zh-CN" w:bidi="ar-SA"/>
              </w:rPr>
              <w:t>客观题约占60%，其中单选题约20%， 多选题约20%，判断题约20%；主观题约占40%，其中简答题约20%，综合题约20%。</w:t>
            </w:r>
          </w:p>
          <w:p>
            <w:pPr>
              <w:jc w:val="both"/>
              <w:textAlignment w:val="baseline"/>
              <w:rPr>
                <w:rStyle w:val="8"/>
                <w:rFonts w:ascii="宋体"/>
                <w:b/>
                <w:kern w:val="0"/>
                <w:sz w:val="18"/>
                <w:szCs w:val="18"/>
                <w:lang w:val="en-US" w:eastAsia="zh-CN" w:bidi="ar-SA"/>
              </w:rPr>
            </w:pPr>
            <w:r>
              <w:rPr>
                <w:rStyle w:val="8"/>
                <w:rFonts w:ascii="宋体"/>
                <w:b/>
                <w:kern w:val="0"/>
                <w:sz w:val="18"/>
                <w:szCs w:val="18"/>
                <w:lang w:val="en-US" w:eastAsia="zh-CN" w:bidi="ar-SA"/>
              </w:rPr>
              <w:t>三、考试内容与要求</w:t>
            </w:r>
          </w:p>
          <w:p>
            <w:pPr>
              <w:ind w:firstLine="361" w:firstLineChars="200"/>
              <w:jc w:val="both"/>
              <w:textAlignment w:val="baseline"/>
              <w:rPr>
                <w:rStyle w:val="8"/>
                <w:rFonts w:cs="Times New Roman"/>
                <w:b/>
                <w:bCs/>
                <w:kern w:val="2"/>
                <w:sz w:val="18"/>
                <w:szCs w:val="18"/>
                <w:lang w:val="en-US" w:eastAsia="zh-CN" w:bidi="ar-SA"/>
              </w:rPr>
            </w:pPr>
          </w:p>
          <w:p>
            <w:pPr>
              <w:ind w:firstLine="361" w:firstLineChars="200"/>
              <w:jc w:val="both"/>
              <w:textAlignment w:val="baseline"/>
              <w:rPr>
                <w:rStyle w:val="8"/>
                <w:rFonts w:cs="Times New Roman"/>
                <w:b/>
                <w:bCs/>
                <w:kern w:val="2"/>
                <w:sz w:val="18"/>
                <w:szCs w:val="18"/>
                <w:lang w:val="en-US" w:eastAsia="zh-CN" w:bidi="ar-SA"/>
              </w:rPr>
            </w:pPr>
          </w:p>
          <w:p>
            <w:pPr>
              <w:ind w:firstLine="361" w:firstLineChars="200"/>
              <w:jc w:val="both"/>
              <w:textAlignment w:val="baseline"/>
              <w:rPr>
                <w:rStyle w:val="8"/>
                <w:rFonts w:ascii="宋体"/>
                <w:kern w:val="0"/>
                <w:sz w:val="18"/>
                <w:szCs w:val="18"/>
                <w:lang w:val="en-US" w:eastAsia="zh-CN" w:bidi="ar-SA"/>
              </w:rPr>
            </w:pPr>
            <w:r>
              <w:rPr>
                <w:rStyle w:val="8"/>
                <w:rFonts w:cs="Times New Roman"/>
                <w:b/>
                <w:bCs/>
                <w:kern w:val="2"/>
                <w:sz w:val="18"/>
                <w:szCs w:val="18"/>
                <w:lang w:val="en-US" w:eastAsia="zh-CN" w:bidi="ar-SA"/>
              </w:rPr>
              <w:t>（一）财务会计</w:t>
            </w:r>
            <w:r>
              <w:rPr>
                <w:rStyle w:val="8"/>
                <w:rFonts w:ascii="宋体"/>
                <w:kern w:val="0"/>
                <w:sz w:val="18"/>
                <w:szCs w:val="18"/>
                <w:lang w:val="en-US" w:eastAsia="zh-CN" w:bidi="ar-SA"/>
              </w:rPr>
              <w:t xml:space="preserve"> </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 xml:space="preserve">1.金融资产：各类金融资产确认、计量的会计处理、金融资产之间转换的会计处理以及金融资产减值会计处理。 </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2.存货：存货的含义和分类；存货入账价值的确定、存货发出计价方法、存货跌价准备计提方法、存货期末计价方法以及相关会计处理。</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3.长期股权投资：长期股权投资成本法和权益法的核算</w:t>
            </w:r>
            <w:r>
              <w:rPr>
                <w:rStyle w:val="8"/>
                <w:rFonts w:hint="eastAsia" w:hAnsi="Calibri"/>
                <w:kern w:val="0"/>
                <w:sz w:val="18"/>
                <w:szCs w:val="18"/>
                <w:lang w:val="en-US" w:eastAsia="zh-CN" w:bidi="ar-SA"/>
              </w:rPr>
              <w:t>以及相关会计处理</w:t>
            </w:r>
            <w:r>
              <w:rPr>
                <w:rStyle w:val="8"/>
                <w:rFonts w:ascii="宋体" w:hAnsi="Calibri" w:eastAsia="宋体"/>
                <w:kern w:val="0"/>
                <w:sz w:val="18"/>
                <w:szCs w:val="18"/>
                <w:lang w:val="en-US" w:eastAsia="zh-CN" w:bidi="ar-SA"/>
              </w:rPr>
              <w:t>。</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4.固定资产：固定资产的确认、初始计量、后续计量、处置以及相关会计处理。</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5.负债：流动负债、非流动负债的含义和会计处理。</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6.收入、费用和利润：收入、费用和利润的确认原则和计量标准的掌握和运用情况，运用收入、费用和利润的基本原理解决实际问题的能力。</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7.会计政策、会计估计变更和差错更正：对会计政策、会计估计变更和差错更正的掌握和运用情况，运用相关原则解决实际问题的能力。</w:t>
            </w:r>
          </w:p>
          <w:p>
            <w:pPr>
              <w:ind w:firstLine="361" w:firstLineChars="200"/>
              <w:jc w:val="both"/>
              <w:textAlignment w:val="baseline"/>
              <w:rPr>
                <w:rStyle w:val="8"/>
                <w:rFonts w:ascii="宋体" w:hAnsi="宋体"/>
                <w:kern w:val="2"/>
                <w:sz w:val="18"/>
                <w:szCs w:val="18"/>
                <w:lang w:val="en-US" w:eastAsia="zh-CN" w:bidi="ar-SA"/>
              </w:rPr>
            </w:pPr>
            <w:r>
              <w:rPr>
                <w:rStyle w:val="8"/>
                <w:rFonts w:ascii="宋体" w:hAnsi="宋体"/>
                <w:b/>
                <w:kern w:val="2"/>
                <w:sz w:val="18"/>
                <w:szCs w:val="18"/>
                <w:lang w:val="en-US" w:eastAsia="zh-CN" w:bidi="ar-SA"/>
              </w:rPr>
              <w:t>参考书目</w:t>
            </w:r>
            <w:r>
              <w:rPr>
                <w:rStyle w:val="8"/>
                <w:rFonts w:ascii="宋体" w:hAnsi="宋体"/>
                <w:kern w:val="2"/>
                <w:sz w:val="18"/>
                <w:szCs w:val="18"/>
                <w:lang w:val="en-US" w:eastAsia="zh-CN" w:bidi="ar-SA"/>
              </w:rPr>
              <w:t xml:space="preserve">：  </w:t>
            </w:r>
          </w:p>
          <w:p>
            <w:pPr>
              <w:ind w:firstLine="360" w:firstLineChars="200"/>
              <w:jc w:val="left"/>
              <w:textAlignment w:val="baseline"/>
              <w:rPr>
                <w:rStyle w:val="8"/>
                <w:rFonts w:ascii="宋体" w:hAnsi="宋体"/>
                <w:kern w:val="2"/>
                <w:sz w:val="18"/>
                <w:szCs w:val="18"/>
                <w:lang w:val="en-US" w:eastAsia="zh-CN" w:bidi="ar-SA"/>
              </w:rPr>
            </w:pPr>
            <w:r>
              <w:rPr>
                <w:rStyle w:val="8"/>
                <w:rFonts w:ascii="宋体" w:hAnsi="宋体"/>
                <w:kern w:val="2"/>
                <w:sz w:val="18"/>
                <w:szCs w:val="18"/>
                <w:lang w:val="en-US" w:eastAsia="zh-CN" w:bidi="ar-SA"/>
              </w:rPr>
              <w:t>2020年注册会计师全国统一考试辅导教材《会计》  中国注册会计师协会编  中国财政经济出版社  2020年</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（二）财务管理</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1.财务管理的价值观念：</w:t>
            </w:r>
            <w:r>
              <w:rPr>
                <w:rStyle w:val="8"/>
                <w:rFonts w:hint="eastAsia" w:hAnsi="Calibri"/>
                <w:kern w:val="0"/>
                <w:sz w:val="18"/>
                <w:szCs w:val="18"/>
                <w:lang w:val="en-US" w:eastAsia="zh-CN" w:bidi="ar-SA"/>
              </w:rPr>
              <w:t>资金时间价值</w:t>
            </w:r>
            <w:r>
              <w:rPr>
                <w:rStyle w:val="8"/>
                <w:rFonts w:ascii="宋体" w:hAnsi="Calibri" w:eastAsia="宋体"/>
                <w:kern w:val="0"/>
                <w:sz w:val="18"/>
                <w:szCs w:val="18"/>
                <w:lang w:val="en-US" w:eastAsia="zh-CN" w:bidi="ar-SA"/>
              </w:rPr>
              <w:t>的计算</w:t>
            </w:r>
            <w:r>
              <w:rPr>
                <w:rStyle w:val="8"/>
                <w:rFonts w:hint="eastAsia" w:hAnsi="Calibri"/>
                <w:kern w:val="0"/>
                <w:sz w:val="18"/>
                <w:szCs w:val="18"/>
                <w:lang w:val="en-US" w:eastAsia="zh-CN" w:bidi="ar-SA"/>
              </w:rPr>
              <w:t>与分析；投资风险价值的衡量与运用。</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2.长期筹资决策：资本结构、个别资本成本、综合资本成本、经营杠杆系数、财务杠杆系数、资本决策方法。</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3.投资决策：项目投资相关概念、现金流量的估算、净现金流量的含义与计算方法；非折现评价指标的含义、特点和计算方法、折现评价指标的含义、特点和计算方法、项目投资决策评价指标的运用。</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4.营运资金管理： 短期资产管理、短期筹资管理。</w:t>
            </w:r>
          </w:p>
          <w:p>
            <w:pPr>
              <w:pStyle w:val="14"/>
              <w:widowControl/>
              <w:ind w:firstLine="360" w:firstLineChars="200"/>
              <w:textAlignment w:val="baseline"/>
              <w:rPr>
                <w:rStyle w:val="8"/>
                <w:rFonts w:hint="default" w:ascii="宋体" w:hAnsi="Calibri" w:eastAsia="宋体"/>
                <w:kern w:val="0"/>
                <w:sz w:val="18"/>
                <w:szCs w:val="18"/>
                <w:lang w:val="en-US" w:eastAsia="zh-CN" w:bidi="ar-SA"/>
              </w:rPr>
            </w:pPr>
            <w:r>
              <w:rPr>
                <w:rStyle w:val="8"/>
                <w:rFonts w:hint="eastAsia" w:hAnsi="Calibri"/>
                <w:kern w:val="0"/>
                <w:sz w:val="18"/>
                <w:szCs w:val="18"/>
                <w:lang w:val="en-US" w:eastAsia="zh-CN" w:bidi="ar-SA"/>
              </w:rPr>
              <w:t>5.财务分析：偿债能力、营运能力、盈利能力及财务状况的综合分析。</w:t>
            </w:r>
          </w:p>
          <w:p>
            <w:pPr>
              <w:ind w:firstLine="542" w:firstLineChars="300"/>
              <w:jc w:val="both"/>
              <w:textAlignment w:val="baseline"/>
              <w:rPr>
                <w:rStyle w:val="8"/>
                <w:rFonts w:ascii="宋体" w:hAnsi="宋体"/>
                <w:kern w:val="2"/>
                <w:sz w:val="18"/>
                <w:szCs w:val="18"/>
                <w:lang w:val="en-US" w:eastAsia="zh-CN" w:bidi="ar-SA"/>
              </w:rPr>
            </w:pPr>
            <w:r>
              <w:rPr>
                <w:rStyle w:val="8"/>
                <w:rFonts w:ascii="宋体" w:hAnsi="宋体"/>
                <w:b/>
                <w:kern w:val="2"/>
                <w:sz w:val="18"/>
                <w:szCs w:val="18"/>
                <w:lang w:val="en-US" w:eastAsia="zh-CN" w:bidi="ar-SA"/>
              </w:rPr>
              <w:t>参考书目</w:t>
            </w:r>
            <w:r>
              <w:rPr>
                <w:rStyle w:val="8"/>
                <w:rFonts w:ascii="宋体" w:hAnsi="宋体"/>
                <w:kern w:val="2"/>
                <w:sz w:val="18"/>
                <w:szCs w:val="18"/>
                <w:lang w:val="en-US" w:eastAsia="zh-CN" w:bidi="ar-SA"/>
              </w:rPr>
              <w:t xml:space="preserve">：  </w:t>
            </w:r>
          </w:p>
          <w:p>
            <w:pPr>
              <w:ind w:firstLine="360" w:firstLineChars="200"/>
              <w:jc w:val="left"/>
              <w:textAlignment w:val="baseline"/>
              <w:rPr>
                <w:rStyle w:val="8"/>
                <w:kern w:val="2"/>
                <w:sz w:val="18"/>
                <w:szCs w:val="18"/>
                <w:lang w:val="en-US" w:eastAsia="zh-CN" w:bidi="ar-SA"/>
              </w:rPr>
            </w:pPr>
            <w:r>
              <w:rPr>
                <w:rStyle w:val="8"/>
                <w:kern w:val="2"/>
                <w:sz w:val="18"/>
                <w:szCs w:val="18"/>
                <w:lang w:val="en-US" w:eastAsia="zh-CN" w:bidi="ar-SA"/>
              </w:rPr>
              <w:t>2019年度全国会计专业技术资格考试辅导教材《财务管理》  财政部会计资格评价中心编  经济科学出版社 2019年</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（三）成本与管理会计</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1.产品成本核算方法：产品成本计算概述；成本的归集与分配；产品成本计算的品种法；产品成本计算的分步法。</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2.成本分析与成本管理：成本性态分析；变动成本法。</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3.本量利分析：本量利分析概念、本量利分析应用。</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4.经营决策分析：经营决策分析的基本方法；经营决策中的成本概念运用；经营决策方法的实际应用。</w:t>
            </w:r>
          </w:p>
          <w:p>
            <w:pPr>
              <w:pStyle w:val="14"/>
              <w:widowControl/>
              <w:ind w:firstLine="361" w:firstLineChars="200"/>
              <w:textAlignment w:val="baseline"/>
              <w:rPr>
                <w:rStyle w:val="8"/>
                <w:rFonts w:ascii="宋体" w:hAnsi="Calibri" w:eastAsia="宋体" w:cs="宋体"/>
                <w:b/>
                <w:bCs/>
                <w:kern w:val="0"/>
                <w:sz w:val="18"/>
                <w:szCs w:val="18"/>
                <w:lang w:val="en-US" w:eastAsia="zh-CN" w:bidi="ar-SA"/>
              </w:rPr>
            </w:pPr>
            <w:r>
              <w:rPr>
                <w:rStyle w:val="8"/>
                <w:rFonts w:ascii="宋体" w:hAnsi="Calibri" w:eastAsia="宋体" w:cs="宋体"/>
                <w:b/>
                <w:bCs/>
                <w:kern w:val="0"/>
                <w:sz w:val="18"/>
                <w:szCs w:val="18"/>
                <w:lang w:val="en-US" w:eastAsia="zh-CN" w:bidi="ar-SA"/>
              </w:rPr>
              <w:t xml:space="preserve">参考书目：  </w:t>
            </w:r>
          </w:p>
          <w:p>
            <w:pPr>
              <w:ind w:firstLine="360" w:firstLineChars="200"/>
              <w:jc w:val="left"/>
              <w:textAlignment w:val="baseline"/>
              <w:rPr>
                <w:rStyle w:val="8"/>
                <w:kern w:val="2"/>
                <w:sz w:val="18"/>
                <w:szCs w:val="18"/>
                <w:lang w:val="en-US" w:eastAsia="zh-CN" w:bidi="ar-SA"/>
              </w:rPr>
            </w:pPr>
            <w:r>
              <w:rPr>
                <w:rStyle w:val="8"/>
                <w:kern w:val="2"/>
                <w:sz w:val="18"/>
                <w:szCs w:val="18"/>
                <w:lang w:val="en-US" w:eastAsia="zh-CN" w:bidi="ar-SA"/>
              </w:rPr>
              <w:t>《成本管理会计》  崔国萍主编  机械工业出版社　2017年</w:t>
            </w:r>
          </w:p>
          <w:p>
            <w:pPr>
              <w:ind w:firstLine="361" w:firstLineChars="200"/>
              <w:jc w:val="both"/>
              <w:textAlignment w:val="baseline"/>
              <w:rPr>
                <w:rStyle w:val="8"/>
                <w:rFonts w:cs="Times New Roman"/>
                <w:b/>
                <w:bCs/>
                <w:kern w:val="2"/>
                <w:sz w:val="18"/>
                <w:szCs w:val="18"/>
                <w:lang w:val="en-US" w:eastAsia="zh-CN" w:bidi="ar-SA"/>
              </w:rPr>
            </w:pPr>
            <w:r>
              <w:rPr>
                <w:rStyle w:val="8"/>
                <w:rFonts w:cs="Times New Roman"/>
                <w:b/>
                <w:bCs/>
                <w:kern w:val="2"/>
                <w:sz w:val="18"/>
                <w:szCs w:val="18"/>
                <w:lang w:val="en-US" w:eastAsia="zh-CN" w:bidi="ar-SA"/>
              </w:rPr>
              <w:t>（四）审计</w:t>
            </w:r>
          </w:p>
          <w:p>
            <w:pPr>
              <w:pStyle w:val="18"/>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 xml:space="preserve">1.审计概述：审计的定义和特征、 审计的职能和作用、 审计的分类；审计准则、职业道德和法律责任。 </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2.财务报表审计的核心概念：审计目标、重要性、审计风险、 审计证据、 审计程序。</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3.财务报表审计的思路和步骤：风险导向审计的基本思路、风险评估、 控制测试、实质性程序。</w:t>
            </w:r>
          </w:p>
          <w:p>
            <w:pPr>
              <w:pStyle w:val="14"/>
              <w:widowControl/>
              <w:ind w:firstLine="360" w:firstLineChars="200"/>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4.主要业务循环的审计：销售与收款循环的审计、采购与付款循环的审计、生产与职工薪酬循环的审计、筹资与投资循环的审计、货币资金与特殊项目的审计。</w:t>
            </w:r>
          </w:p>
          <w:p>
            <w:pPr>
              <w:ind w:firstLine="360" w:firstLineChars="200"/>
              <w:jc w:val="both"/>
              <w:textAlignment w:val="baseline"/>
              <w:rPr>
                <w:rStyle w:val="8"/>
                <w:rFonts w:ascii="宋体" w:hAnsi="Calibri" w:eastAsia="宋体"/>
                <w:kern w:val="0"/>
                <w:sz w:val="18"/>
                <w:szCs w:val="18"/>
                <w:lang w:val="en-US" w:eastAsia="zh-CN" w:bidi="ar-SA"/>
              </w:rPr>
            </w:pPr>
            <w:r>
              <w:rPr>
                <w:rStyle w:val="8"/>
                <w:rFonts w:ascii="宋体" w:hAnsi="Calibri" w:eastAsia="宋体"/>
                <w:kern w:val="0"/>
                <w:sz w:val="18"/>
                <w:szCs w:val="18"/>
                <w:lang w:val="en-US" w:eastAsia="zh-CN" w:bidi="ar-SA"/>
              </w:rPr>
              <w:t>5.审计报告：审计意见的形成和类型、无保留意见审计报告的结构和内容、非无保留意见审计报告的结构和内容。</w:t>
            </w:r>
          </w:p>
          <w:p>
            <w:pPr>
              <w:ind w:firstLine="361" w:firstLineChars="200"/>
              <w:jc w:val="both"/>
              <w:textAlignment w:val="baseline"/>
              <w:rPr>
                <w:rStyle w:val="8"/>
                <w:rFonts w:ascii="宋体" w:hAnsi="宋体"/>
                <w:kern w:val="2"/>
                <w:sz w:val="18"/>
                <w:szCs w:val="18"/>
                <w:lang w:val="en-US" w:eastAsia="zh-CN" w:bidi="ar-SA"/>
              </w:rPr>
            </w:pPr>
            <w:r>
              <w:rPr>
                <w:rStyle w:val="8"/>
                <w:rFonts w:ascii="宋体" w:hAnsi="宋体"/>
                <w:b/>
                <w:kern w:val="2"/>
                <w:sz w:val="18"/>
                <w:szCs w:val="18"/>
                <w:lang w:val="en-US" w:eastAsia="zh-CN" w:bidi="ar-SA"/>
              </w:rPr>
              <w:t>参考书目</w:t>
            </w:r>
            <w:r>
              <w:rPr>
                <w:rStyle w:val="8"/>
                <w:rFonts w:ascii="宋体" w:hAnsi="宋体"/>
                <w:kern w:val="2"/>
                <w:sz w:val="18"/>
                <w:szCs w:val="18"/>
                <w:lang w:val="en-US" w:eastAsia="zh-CN" w:bidi="ar-SA"/>
              </w:rPr>
              <w:t xml:space="preserve">：  </w:t>
            </w:r>
          </w:p>
          <w:p>
            <w:pPr>
              <w:pStyle w:val="14"/>
              <w:widowControl/>
              <w:ind w:firstLine="360" w:firstLineChars="200"/>
              <w:textAlignment w:val="baseline"/>
              <w:rPr>
                <w:rStyle w:val="8"/>
                <w:rFonts w:ascii="宋体" w:hAnsi="宋体" w:eastAsia="宋体"/>
                <w:kern w:val="2"/>
                <w:sz w:val="18"/>
                <w:szCs w:val="18"/>
                <w:lang w:val="en-US" w:eastAsia="zh-CN" w:bidi="ar-SA"/>
              </w:rPr>
            </w:pPr>
            <w:r>
              <w:rPr>
                <w:rStyle w:val="8"/>
                <w:rFonts w:ascii="宋体" w:hAnsi="Calibri" w:eastAsia="宋体"/>
                <w:kern w:val="0"/>
                <w:sz w:val="18"/>
                <w:szCs w:val="18"/>
                <w:lang w:val="en-US" w:eastAsia="zh-CN" w:bidi="ar-SA"/>
              </w:rPr>
              <w:t>《审计》 中国注册会计师协会组织编写 中国财政经济出版社     2020年</w:t>
            </w:r>
          </w:p>
        </w:tc>
      </w:tr>
    </w:tbl>
    <w:p>
      <w:pPr>
        <w:jc w:val="both"/>
        <w:textAlignment w:val="baseline"/>
        <w:rPr>
          <w:rStyle w:val="8"/>
          <w:kern w:val="2"/>
          <w:sz w:val="21"/>
          <w:szCs w:val="22"/>
          <w:lang w:val="en-US" w:eastAsia="zh-CN" w:bidi="ar-SA"/>
        </w:rPr>
      </w:pPr>
      <w:r>
        <w:rPr>
          <w:rStyle w:val="8"/>
          <w:kern w:val="2"/>
          <w:sz w:val="21"/>
          <w:szCs w:val="22"/>
          <w:lang w:val="en-US" w:eastAsia="zh-CN" w:bidi="ar-SA"/>
        </w:rPr>
        <w:t xml:space="preserve">                                                                                   </w:t>
      </w:r>
    </w:p>
    <w:sectPr>
      <w:pgSz w:w="16838" w:h="11906"/>
      <w:pgMar w:top="1800" w:right="1440" w:bottom="1800" w:left="144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tentative="0">
      <w:start w:val="1"/>
      <w:numFmt w:val="japaneseCounting"/>
      <w:lvlText w:val="%1、"/>
      <w:lvlJc w:val="left"/>
      <w:pPr>
        <w:widowControl/>
        <w:ind w:left="420" w:hanging="420"/>
        <w:textAlignment w:val="baseline"/>
      </w:pPr>
      <w:rPr>
        <w:rStyle w:val="8"/>
      </w:rPr>
    </w:lvl>
    <w:lvl w:ilvl="1" w:tentative="0">
      <w:start w:val="1"/>
      <w:numFmt w:val="lowerLetter"/>
      <w:lvlText w:val="%1)"/>
      <w:lvlJc w:val="left"/>
      <w:pPr>
        <w:widowControl/>
        <w:ind w:left="840" w:hanging="420"/>
        <w:textAlignment w:val="baseline"/>
      </w:pPr>
      <w:rPr>
        <w:rStyle w:val="8"/>
      </w:rPr>
    </w:lvl>
    <w:lvl w:ilvl="2" w:tentative="0">
      <w:start w:val="1"/>
      <w:numFmt w:val="lowerRoman"/>
      <w:lvlText w:val="%1."/>
      <w:lvlJc w:val="right"/>
      <w:pPr>
        <w:widowControl/>
        <w:ind w:left="1260" w:hanging="420"/>
        <w:textAlignment w:val="baseline"/>
      </w:pPr>
      <w:rPr>
        <w:rStyle w:val="8"/>
      </w:rPr>
    </w:lvl>
    <w:lvl w:ilvl="3" w:tentative="0">
      <w:start w:val="1"/>
      <w:numFmt w:val="decimal"/>
      <w:lvlText w:val="%1."/>
      <w:lvlJc w:val="left"/>
      <w:pPr>
        <w:widowControl/>
        <w:ind w:left="1680" w:hanging="420"/>
        <w:textAlignment w:val="baseline"/>
      </w:pPr>
      <w:rPr>
        <w:rStyle w:val="8"/>
      </w:rPr>
    </w:lvl>
    <w:lvl w:ilvl="4" w:tentative="0">
      <w:start w:val="1"/>
      <w:numFmt w:val="lowerLetter"/>
      <w:lvlText w:val="%1)"/>
      <w:lvlJc w:val="left"/>
      <w:pPr>
        <w:widowControl/>
        <w:ind w:left="2100" w:hanging="420"/>
        <w:textAlignment w:val="baseline"/>
      </w:pPr>
      <w:rPr>
        <w:rStyle w:val="8"/>
      </w:rPr>
    </w:lvl>
    <w:lvl w:ilvl="5" w:tentative="0">
      <w:start w:val="1"/>
      <w:numFmt w:val="lowerRoman"/>
      <w:lvlText w:val="%1."/>
      <w:lvlJc w:val="right"/>
      <w:pPr>
        <w:widowControl/>
        <w:ind w:left="2520" w:hanging="420"/>
        <w:textAlignment w:val="baseline"/>
      </w:pPr>
      <w:rPr>
        <w:rStyle w:val="8"/>
      </w:rPr>
    </w:lvl>
    <w:lvl w:ilvl="6" w:tentative="0">
      <w:start w:val="1"/>
      <w:numFmt w:val="decimal"/>
      <w:lvlText w:val="%1."/>
      <w:lvlJc w:val="left"/>
      <w:pPr>
        <w:widowControl/>
        <w:ind w:left="2940" w:hanging="420"/>
        <w:textAlignment w:val="baseline"/>
      </w:pPr>
      <w:rPr>
        <w:rStyle w:val="8"/>
      </w:rPr>
    </w:lvl>
    <w:lvl w:ilvl="7" w:tentative="0">
      <w:start w:val="1"/>
      <w:numFmt w:val="lowerLetter"/>
      <w:lvlText w:val="%1)"/>
      <w:lvlJc w:val="left"/>
      <w:pPr>
        <w:widowControl/>
        <w:ind w:left="3360" w:hanging="420"/>
        <w:textAlignment w:val="baseline"/>
      </w:pPr>
      <w:rPr>
        <w:rStyle w:val="8"/>
      </w:rPr>
    </w:lvl>
    <w:lvl w:ilvl="8" w:tentative="0">
      <w:start w:val="1"/>
      <w:numFmt w:val="lowerRoman"/>
      <w:lvlText w:val="%1."/>
      <w:lvlJc w:val="right"/>
      <w:pPr>
        <w:widowControl/>
        <w:ind w:left="3780" w:hanging="420"/>
        <w:textAlignment w:val="baseline"/>
      </w:pPr>
      <w:rPr>
        <w:rStyle w:val="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50A1C85"/>
    <w:rsid w:val="117869B4"/>
    <w:rsid w:val="276945FD"/>
    <w:rsid w:val="2BE73C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uiPriority w:val="0"/>
    <w:pPr>
      <w:jc w:val="both"/>
      <w:textAlignment w:val="baseline"/>
    </w:pPr>
    <w:rPr>
      <w:rFonts w:ascii="Calibri" w:hAnsi="Calibri" w:eastAsia="宋体"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12"/>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6">
    <w:name w:val="Strong"/>
    <w:link w:val="1"/>
    <w:uiPriority w:val="0"/>
    <w:rPr>
      <w:rFonts w:cs="Times New Roman"/>
      <w:b/>
      <w:bCs/>
    </w:rPr>
  </w:style>
  <w:style w:type="character" w:styleId="7">
    <w:name w:val="Hyperlink"/>
    <w:basedOn w:val="8"/>
    <w:link w:val="1"/>
    <w:qFormat/>
    <w:uiPriority w:val="0"/>
    <w:rPr>
      <w:color w:val="0000FF"/>
      <w:u w:val="single"/>
    </w:rPr>
  </w:style>
  <w:style w:type="character" w:customStyle="1" w:styleId="8">
    <w:name w:val="NormalCharacter"/>
    <w:link w:val="1"/>
    <w:qFormat/>
    <w:uiPriority w:val="0"/>
  </w:style>
  <w:style w:type="paragraph" w:customStyle="1" w:styleId="9">
    <w:name w:val="Heading1"/>
    <w:basedOn w:val="1"/>
    <w:link w:val="11"/>
    <w:qFormat/>
    <w:uiPriority w:val="0"/>
    <w:pPr>
      <w:widowControl/>
      <w:spacing w:before="100" w:beforeAutospacing="1" w:after="100" w:afterAutospacing="1"/>
      <w:jc w:val="left"/>
      <w:textAlignment w:val="baseline"/>
    </w:pPr>
    <w:rPr>
      <w:rFonts w:ascii="宋体" w:hAnsi="宋体" w:cs="宋体"/>
      <w:b/>
      <w:bCs/>
      <w:kern w:val="36"/>
      <w:sz w:val="48"/>
      <w:szCs w:val="48"/>
      <w:lang w:val="en-US" w:eastAsia="zh-CN" w:bidi="ar-SA"/>
    </w:rPr>
  </w:style>
  <w:style w:type="table" w:customStyle="1" w:styleId="10">
    <w:name w:val="TableNormal"/>
    <w:semiHidden/>
    <w:qFormat/>
    <w:uiPriority w:val="0"/>
  </w:style>
  <w:style w:type="character" w:customStyle="1" w:styleId="11">
    <w:name w:val="UserStyle_0"/>
    <w:basedOn w:val="8"/>
    <w:link w:val="9"/>
    <w:qFormat/>
    <w:uiPriority w:val="0"/>
    <w:rPr>
      <w:rFonts w:ascii="宋体" w:hAnsi="宋体" w:cs="宋体"/>
      <w:b/>
      <w:bCs/>
      <w:kern w:val="36"/>
      <w:sz w:val="48"/>
      <w:szCs w:val="48"/>
    </w:rPr>
  </w:style>
  <w:style w:type="character" w:customStyle="1" w:styleId="12">
    <w:name w:val="UserStyle_1"/>
    <w:link w:val="3"/>
    <w:qFormat/>
    <w:uiPriority w:val="0"/>
    <w:rPr>
      <w:sz w:val="18"/>
      <w:szCs w:val="18"/>
    </w:rPr>
  </w:style>
  <w:style w:type="character" w:customStyle="1" w:styleId="13">
    <w:name w:val="UserStyle_2"/>
    <w:link w:val="14"/>
    <w:qFormat/>
    <w:uiPriority w:val="0"/>
    <w:rPr>
      <w:rFonts w:ascii="宋体" w:hAnsi="Courier New" w:eastAsia="宋体"/>
      <w:sz w:val="20"/>
      <w:szCs w:val="20"/>
    </w:rPr>
  </w:style>
  <w:style w:type="paragraph" w:customStyle="1" w:styleId="14">
    <w:name w:val="PlainText"/>
    <w:basedOn w:val="1"/>
    <w:link w:val="13"/>
    <w:qFormat/>
    <w:uiPriority w:val="0"/>
    <w:pPr>
      <w:jc w:val="both"/>
      <w:textAlignment w:val="baseline"/>
    </w:pPr>
    <w:rPr>
      <w:rFonts w:ascii="宋体" w:hAnsi="Courier New" w:eastAsia="宋体"/>
      <w:kern w:val="2"/>
      <w:sz w:val="20"/>
      <w:szCs w:val="20"/>
      <w:lang w:val="en-US" w:eastAsia="zh-CN" w:bidi="ar-SA"/>
    </w:rPr>
  </w:style>
  <w:style w:type="character" w:customStyle="1" w:styleId="15">
    <w:name w:val="UserStyle_3"/>
    <w:link w:val="2"/>
    <w:uiPriority w:val="0"/>
    <w:rPr>
      <w:sz w:val="18"/>
      <w:szCs w:val="18"/>
    </w:rPr>
  </w:style>
  <w:style w:type="paragraph" w:customStyle="1" w:styleId="16">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paragraph" w:customStyle="1" w:styleId="17">
    <w:name w:val="179"/>
    <w:basedOn w:val="1"/>
    <w:qFormat/>
    <w:uiPriority w:val="0"/>
    <w:pPr>
      <w:ind w:firstLine="420" w:firstLineChars="200"/>
      <w:jc w:val="both"/>
      <w:textAlignment w:val="baseline"/>
    </w:pPr>
  </w:style>
  <w:style w:type="paragraph" w:customStyle="1" w:styleId="18">
    <w:name w:val="UserStyle_4"/>
    <w:basedOn w:val="1"/>
    <w:qFormat/>
    <w:uiPriority w:val="0"/>
    <w:pPr>
      <w:ind w:firstLine="420" w:firstLineChars="20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26</TotalTime>
  <ScaleCrop>false</ScaleCrop>
  <LinksUpToDate>false</LinksUpToDate>
  <Application>WPS Office_11.1.0.9999_F1E327BC-269C-435d-A152-05C5408002CA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2020-09-14T13:22:00Z</dcterms:created>
  <dc:creator>lenovo</dc:creator>
  <cp:lastModifiedBy>melinda</cp:lastModifiedBy>
  <dcterms:modified xsi:type="dcterms:W3CDTF">2020-09-20T13:04:23Z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