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1929"/>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2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4174" w:type="dxa"/>
            <w:gridSpan w:val="2"/>
            <w:tcBorders>
              <w:top w:val="single" w:color="000000" w:sz="4" w:space="0"/>
              <w:left w:val="single" w:color="000000" w:sz="4" w:space="0"/>
              <w:bottom w:val="single" w:color="000000" w:sz="4" w:space="0"/>
              <w:right w:val="single" w:color="000000" w:sz="4" w:space="0"/>
            </w:tcBorders>
            <w:vAlign w:val="top"/>
          </w:tcPr>
          <w:p>
            <w:pPr>
              <w:pStyle w:val="12"/>
              <w:widowControl/>
              <w:shd w:val="clear" w:color="auto" w:fill="FFFFFF"/>
              <w:spacing w:before="0" w:after="0"/>
              <w:jc w:val="center"/>
              <w:textAlignment w:val="baseline"/>
              <w:rPr>
                <w:rStyle w:val="6"/>
                <w:rFonts w:ascii="仿宋" w:hAnsi="仿宋" w:eastAsia="仿宋"/>
                <w:b/>
                <w:color w:val="333333"/>
                <w:kern w:val="0"/>
                <w:sz w:val="32"/>
                <w:szCs w:val="32"/>
                <w:lang w:val="en-US" w:eastAsia="zh-CN" w:bidi="ar-SA"/>
              </w:rPr>
            </w:pPr>
            <w:r>
              <w:rPr>
                <w:rStyle w:val="6"/>
                <w:rFonts w:ascii="仿宋" w:hAnsi="仿宋" w:eastAsia="仿宋"/>
                <w:b/>
                <w:color w:val="333333"/>
                <w:kern w:val="0"/>
                <w:sz w:val="32"/>
                <w:szCs w:val="32"/>
                <w:lang w:val="en-US" w:eastAsia="zh-CN" w:bidi="ar-SA"/>
              </w:rPr>
              <w:t>《经济学原理》考试大纲</w:t>
            </w:r>
          </w:p>
          <w:p>
            <w:pPr>
              <w:jc w:val="both"/>
              <w:textAlignment w:val="baseline"/>
              <w:rPr>
                <w:rStyle w:val="6"/>
                <w:rFonts w:ascii="??" w:hAnsi="??"/>
                <w:color w:val="333333"/>
                <w:kern w:val="2"/>
                <w:sz w:val="18"/>
                <w:szCs w:val="18"/>
                <w:lang w:val="en-US" w:eastAsia="zh-CN" w:bidi="ar-SA"/>
              </w:rPr>
            </w:pPr>
            <w:r>
              <w:rPr>
                <w:rStyle w:val="6"/>
                <w:rFonts w:ascii="??" w:hAnsi="??"/>
                <w:b/>
                <w:color w:val="333333"/>
                <w:kern w:val="2"/>
                <w:sz w:val="21"/>
                <w:szCs w:val="21"/>
                <w:lang w:val="en-US" w:eastAsia="zh-CN" w:bidi="ar-SA"/>
              </w:rPr>
              <w:t>适用专业名称</w:t>
            </w:r>
            <w:r>
              <w:rPr>
                <w:rStyle w:val="6"/>
                <w:rFonts w:ascii="??" w:hAnsi="??"/>
                <w:b/>
                <w:color w:val="333333"/>
                <w:kern w:val="2"/>
                <w:sz w:val="18"/>
                <w:szCs w:val="18"/>
                <w:lang w:val="en-US" w:eastAsia="zh-CN" w:bidi="ar-SA"/>
              </w:rPr>
              <w:t>：</w:t>
            </w:r>
            <w:r>
              <w:rPr>
                <w:rStyle w:val="6"/>
                <w:rFonts w:ascii="??" w:hAnsi="??"/>
                <w:color w:val="000000"/>
                <w:kern w:val="2"/>
                <w:sz w:val="21"/>
                <w:szCs w:val="21"/>
                <w:lang w:val="en-US" w:eastAsia="zh-CN" w:bidi="ar-SA"/>
              </w:rPr>
              <w:t>工商管理</w:t>
            </w:r>
            <w:r>
              <w:rPr>
                <w:rStyle w:val="6"/>
                <w:rFonts w:ascii="??" w:hAnsi="??"/>
                <w:color w:val="333333"/>
                <w:kern w:val="2"/>
                <w:sz w:val="21"/>
                <w:szCs w:val="21"/>
                <w:lang w:val="en-US" w:eastAsia="zh-CN" w:bidi="ar-SA"/>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809"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6"/>
                <w:rFonts w:ascii="宋体"/>
                <w:b/>
                <w:kern w:val="2"/>
                <w:sz w:val="21"/>
                <w:szCs w:val="21"/>
                <w:lang w:val="en-US" w:eastAsia="zh-CN" w:bidi="ar-SA"/>
              </w:rPr>
            </w:pPr>
            <w:r>
              <w:rPr>
                <w:rStyle w:val="6"/>
                <w:b/>
                <w:kern w:val="2"/>
                <w:sz w:val="21"/>
                <w:szCs w:val="21"/>
                <w:lang w:val="en-US" w:eastAsia="zh-CN" w:bidi="ar-SA"/>
              </w:rPr>
              <w:t>科目代码及名称</w:t>
            </w:r>
          </w:p>
        </w:tc>
        <w:tc>
          <w:tcPr>
            <w:tcW w:w="12365"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6"/>
                <w:b/>
                <w:kern w:val="2"/>
                <w:sz w:val="21"/>
                <w:szCs w:val="21"/>
                <w:lang w:val="en-US" w:eastAsia="zh-CN" w:bidi="ar-SA"/>
              </w:rPr>
            </w:pPr>
            <w:r>
              <w:rPr>
                <w:rStyle w:val="6"/>
                <w:b/>
                <w:kern w:val="2"/>
                <w:sz w:val="21"/>
                <w:szCs w:val="21"/>
                <w:lang w:val="en-US" w:eastAsia="zh-CN" w:bidi="ar-SA"/>
              </w:rPr>
              <w:t xml:space="preserve">考试大纲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09" w:hRule="atLeast"/>
        </w:trPr>
        <w:tc>
          <w:tcPr>
            <w:tcW w:w="1809" w:type="dxa"/>
            <w:tcBorders>
              <w:top w:val="single" w:color="000000" w:sz="4" w:space="0"/>
              <w:left w:val="single" w:color="000000" w:sz="4" w:space="0"/>
              <w:bottom w:val="single" w:color="000000" w:sz="4" w:space="0"/>
              <w:right w:val="single" w:color="000000" w:sz="4" w:space="0"/>
            </w:tcBorders>
            <w:vAlign w:val="top"/>
          </w:tcPr>
          <w:p>
            <w:pPr>
              <w:jc w:val="left"/>
              <w:textAlignment w:val="baseline"/>
              <w:rPr>
                <w:rStyle w:val="6"/>
                <w:b/>
                <w:kern w:val="2"/>
                <w:sz w:val="18"/>
                <w:szCs w:val="18"/>
                <w:lang w:val="en-US" w:eastAsia="zh-CN" w:bidi="ar-SA"/>
              </w:rPr>
            </w:pPr>
            <w:r>
              <w:rPr>
                <w:rStyle w:val="6"/>
                <w:b/>
                <w:color w:val="000000"/>
                <w:kern w:val="2"/>
                <w:sz w:val="18"/>
                <w:szCs w:val="18"/>
                <w:lang w:val="en-US" w:eastAsia="zh-CN" w:bidi="ar-SA"/>
              </w:rPr>
              <w:t>2</w:t>
            </w:r>
            <w:r>
              <w:rPr>
                <w:rStyle w:val="6"/>
                <w:rFonts w:hint="eastAsia"/>
                <w:b/>
                <w:color w:val="000000"/>
                <w:kern w:val="2"/>
                <w:sz w:val="18"/>
                <w:szCs w:val="18"/>
                <w:lang w:val="en-US" w:eastAsia="zh-CN" w:bidi="ar-SA"/>
              </w:rPr>
              <w:t>2</w:t>
            </w:r>
            <w:r>
              <w:rPr>
                <w:rStyle w:val="6"/>
                <w:b/>
                <w:kern w:val="2"/>
                <w:sz w:val="18"/>
                <w:szCs w:val="18"/>
                <w:lang w:val="en-US" w:eastAsia="zh-CN" w:bidi="ar-SA"/>
              </w:rPr>
              <w:t>经济学原理</w:t>
            </w:r>
          </w:p>
          <w:p>
            <w:pPr>
              <w:jc w:val="both"/>
              <w:textAlignment w:val="baseline"/>
              <w:rPr>
                <w:rStyle w:val="6"/>
                <w:b/>
                <w:kern w:val="2"/>
                <w:sz w:val="18"/>
                <w:szCs w:val="18"/>
                <w:lang w:val="en-US" w:eastAsia="zh-CN" w:bidi="ar-SA"/>
              </w:rPr>
            </w:pPr>
          </w:p>
        </w:tc>
        <w:tc>
          <w:tcPr>
            <w:tcW w:w="12365" w:type="dxa"/>
            <w:tcBorders>
              <w:top w:val="single" w:color="000000" w:sz="4" w:space="0"/>
              <w:left w:val="single" w:color="000000" w:sz="4" w:space="0"/>
              <w:bottom w:val="single" w:color="000000" w:sz="4" w:space="0"/>
              <w:right w:val="single" w:color="000000" w:sz="4" w:space="0"/>
            </w:tcBorders>
            <w:vAlign w:val="top"/>
          </w:tcPr>
          <w:p>
            <w:pPr>
              <w:pStyle w:val="13"/>
              <w:widowControl/>
              <w:numPr>
                <w:ilvl w:val="0"/>
                <w:numId w:val="1"/>
              </w:numPr>
              <w:ind w:left="420" w:firstLineChars="0"/>
              <w:textAlignment w:val="baseline"/>
              <w:rPr>
                <w:rStyle w:val="6"/>
                <w:b/>
                <w:sz w:val="18"/>
                <w:szCs w:val="18"/>
              </w:rPr>
            </w:pPr>
            <w:r>
              <w:rPr>
                <w:rStyle w:val="6"/>
                <w:b/>
                <w:sz w:val="18"/>
                <w:szCs w:val="18"/>
              </w:rPr>
              <w:t>考试目的与要求</w:t>
            </w:r>
          </w:p>
          <w:p>
            <w:pPr>
              <w:pStyle w:val="13"/>
              <w:widowControl/>
              <w:ind w:firstLine="360" w:firstLineChars="200"/>
              <w:textAlignment w:val="baseline"/>
              <w:rPr>
                <w:rStyle w:val="6"/>
                <w:sz w:val="18"/>
                <w:szCs w:val="18"/>
              </w:rPr>
            </w:pPr>
            <w:r>
              <w:rPr>
                <w:rStyle w:val="6"/>
                <w:sz w:val="18"/>
                <w:szCs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3"/>
              <w:widowControl/>
              <w:numPr>
                <w:ilvl w:val="0"/>
                <w:numId w:val="1"/>
              </w:numPr>
              <w:ind w:left="420" w:firstLineChars="0"/>
              <w:textAlignment w:val="baseline"/>
              <w:rPr>
                <w:rStyle w:val="6"/>
                <w:sz w:val="18"/>
                <w:szCs w:val="18"/>
              </w:rPr>
            </w:pPr>
            <w:r>
              <w:rPr>
                <w:rStyle w:val="6"/>
                <w:b/>
                <w:sz w:val="18"/>
                <w:szCs w:val="18"/>
              </w:rPr>
              <w:t>试卷结构</w:t>
            </w:r>
            <w:r>
              <w:rPr>
                <w:rStyle w:val="6"/>
                <w:sz w:val="18"/>
                <w:szCs w:val="18"/>
              </w:rPr>
              <w:t>（满分100分）</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题型比例：</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客观题   约50分                             </w:t>
            </w:r>
          </w:p>
          <w:p>
            <w:pPr>
              <w:jc w:val="left"/>
              <w:textAlignment w:val="baseline"/>
              <w:rPr>
                <w:rStyle w:val="6"/>
                <w:rFonts w:ascii="宋体"/>
                <w:kern w:val="0"/>
                <w:sz w:val="18"/>
                <w:szCs w:val="18"/>
                <w:lang w:val="en-US" w:eastAsia="zh-CN" w:bidi="ar-SA"/>
              </w:rPr>
            </w:pPr>
            <w:r>
              <w:rPr>
                <w:rStyle w:val="6"/>
                <w:rFonts w:ascii="Times New Roman" w:hAnsi="Times New Roman"/>
                <w:kern w:val="0"/>
                <w:sz w:val="18"/>
                <w:szCs w:val="18"/>
                <w:lang w:val="en-US" w:eastAsia="zh-CN" w:bidi="ar-SA"/>
              </w:rPr>
              <w:t xml:space="preserve">   </w:t>
            </w:r>
            <w:r>
              <w:rPr>
                <w:rStyle w:val="6"/>
                <w:rFonts w:ascii="宋体"/>
                <w:kern w:val="0"/>
                <w:sz w:val="18"/>
                <w:szCs w:val="18"/>
                <w:lang w:val="en-US" w:eastAsia="zh-CN" w:bidi="ar-SA"/>
              </w:rPr>
              <w:t xml:space="preserve">      </w:t>
            </w:r>
            <w:r>
              <w:rPr>
                <w:rStyle w:val="6"/>
                <w:rFonts w:ascii="Times New Roman" w:hAnsi="Times New Roman"/>
                <w:kern w:val="0"/>
                <w:sz w:val="18"/>
                <w:szCs w:val="18"/>
                <w:lang w:val="en-US" w:eastAsia="zh-CN" w:bidi="ar-SA"/>
              </w:rPr>
              <w:t>1</w:t>
            </w:r>
            <w:r>
              <w:rPr>
                <w:rStyle w:val="6"/>
                <w:rFonts w:ascii="宋体"/>
                <w:kern w:val="0"/>
                <w:sz w:val="18"/>
                <w:szCs w:val="18"/>
                <w:lang w:val="en-US" w:eastAsia="zh-CN" w:bidi="ar-SA"/>
              </w:rPr>
              <w:t xml:space="preserve">．概念                   约20分                        </w:t>
            </w:r>
          </w:p>
          <w:p>
            <w:pPr>
              <w:jc w:val="left"/>
              <w:textAlignment w:val="baseline"/>
              <w:rPr>
                <w:rStyle w:val="6"/>
                <w:rFonts w:ascii="宋体"/>
                <w:kern w:val="0"/>
                <w:sz w:val="18"/>
                <w:szCs w:val="18"/>
                <w:lang w:val="en-US" w:eastAsia="zh-CN" w:bidi="ar-SA"/>
              </w:rPr>
            </w:pPr>
            <w:r>
              <w:rPr>
                <w:rStyle w:val="6"/>
                <w:rFonts w:ascii="Times New Roman" w:hAnsi="Times New Roman"/>
                <w:kern w:val="0"/>
                <w:sz w:val="18"/>
                <w:szCs w:val="18"/>
                <w:lang w:val="en-US" w:eastAsia="zh-CN" w:bidi="ar-SA"/>
              </w:rPr>
              <w:t xml:space="preserve">         2</w:t>
            </w:r>
            <w:r>
              <w:rPr>
                <w:rStyle w:val="6"/>
                <w:rFonts w:ascii="宋体"/>
                <w:kern w:val="0"/>
                <w:sz w:val="18"/>
                <w:szCs w:val="18"/>
                <w:lang w:val="en-US" w:eastAsia="zh-CN" w:bidi="ar-SA"/>
              </w:rPr>
              <w:t xml:space="preserve">．选择题                 约20分     </w:t>
            </w:r>
            <w:bookmarkStart w:id="0" w:name="_GoBack"/>
            <w:bookmarkEnd w:id="0"/>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3. 判断题                 约10分</w:t>
            </w:r>
          </w:p>
          <w:p>
            <w:pPr>
              <w:ind w:firstLine="1800" w:firstLineChars="1000"/>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主观题   约50分  </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1. 简答题                 约30分</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2. 论述题                 约20分</w:t>
            </w:r>
          </w:p>
          <w:p>
            <w:pPr>
              <w:numPr>
                <w:ilvl w:val="0"/>
                <w:numId w:val="2"/>
              </w:numPr>
              <w:jc w:val="both"/>
              <w:textAlignment w:val="baseline"/>
              <w:rPr>
                <w:rStyle w:val="6"/>
                <w:rFonts w:ascii="宋体"/>
                <w:b/>
                <w:kern w:val="0"/>
                <w:sz w:val="18"/>
                <w:szCs w:val="18"/>
                <w:lang w:val="en-US" w:eastAsia="zh-CN" w:bidi="ar-SA"/>
              </w:rPr>
            </w:pPr>
            <w:r>
              <w:rPr>
                <w:rStyle w:val="6"/>
                <w:rFonts w:ascii="宋体"/>
                <w:b/>
                <w:kern w:val="0"/>
                <w:sz w:val="18"/>
                <w:szCs w:val="18"/>
                <w:lang w:val="en-US" w:eastAsia="zh-CN" w:bidi="ar-SA"/>
              </w:rPr>
              <w:t>考试内容与要求</w:t>
            </w:r>
          </w:p>
          <w:p>
            <w:pPr>
              <w:pStyle w:val="11"/>
              <w:widowControl/>
              <w:spacing w:line="480" w:lineRule="auto"/>
              <w:textAlignment w:val="baseline"/>
              <w:rPr>
                <w:rStyle w:val="6"/>
                <w:rFonts w:ascii="宋体" w:hAnsi="宋体" w:eastAsia="宋体"/>
                <w:b/>
                <w:kern w:val="2"/>
                <w:sz w:val="18"/>
                <w:szCs w:val="18"/>
                <w:lang w:val="en-US" w:eastAsia="zh-CN" w:bidi="ar-SA"/>
              </w:rPr>
            </w:pPr>
            <w:r>
              <w:rPr>
                <w:rStyle w:val="6"/>
                <w:rFonts w:ascii="宋体" w:hAnsi="宋体" w:eastAsia="宋体"/>
                <w:b/>
                <w:kern w:val="0"/>
                <w:sz w:val="18"/>
                <w:szCs w:val="18"/>
                <w:lang w:val="en-US" w:eastAsia="zh-CN" w:bidi="ar-SA"/>
              </w:rPr>
              <w:t xml:space="preserve">   （一）</w:t>
            </w:r>
            <w:r>
              <w:rPr>
                <w:rStyle w:val="6"/>
                <w:rFonts w:ascii="宋体" w:hAnsi="宋体" w:eastAsia="宋体"/>
                <w:b/>
                <w:kern w:val="2"/>
                <w:sz w:val="18"/>
                <w:szCs w:val="18"/>
                <w:lang w:val="en-US" w:eastAsia="zh-CN" w:bidi="ar-SA"/>
              </w:rPr>
              <w:t>经济学十大原理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经济学十大原理内容</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1.理解：机会成本、通货膨胀、经济周期涵义；短期中通货膨胀与失业如何相关；</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2.掌握：外部性、市场失灵；</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3.熟练掌握：市场失灵的两个原因。</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（二）相互依存与贸易的好处</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相互依存与贸易的好处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1.了解：生产可能性曲线绝对优势与比较优势的差异；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2.掌握：比较优势；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3.熟练掌握：为什么经济学家反对限制各国之间贸易的政策。</w:t>
            </w:r>
          </w:p>
          <w:p>
            <w:pPr>
              <w:pStyle w:val="11"/>
              <w:widowControl/>
              <w:numPr>
                <w:ilvl w:val="0"/>
                <w:numId w:val="3"/>
              </w:numPr>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供给、需求和市场力量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需求定理、供给定理、均衡价格、需求曲线与供给曲线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1.了解：市场中价格的作用；</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2.理解：过剩、竞争市场；</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3.掌握：需求定理、供给定理、均衡价格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4.熟练掌握：需求曲线与供给曲线。</w:t>
            </w:r>
          </w:p>
          <w:p>
            <w:pPr>
              <w:pStyle w:val="11"/>
              <w:widowControl/>
              <w:numPr>
                <w:ilvl w:val="0"/>
                <w:numId w:val="3"/>
              </w:numPr>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w:t>
            </w:r>
            <w:r>
              <w:rPr>
                <w:rStyle w:val="6"/>
                <w:rFonts w:ascii="宋体" w:hAnsi="宋体" w:eastAsia="宋体" w:cs="Times New Roman"/>
                <w:b/>
                <w:bCs/>
                <w:kern w:val="2"/>
                <w:sz w:val="18"/>
                <w:szCs w:val="18"/>
                <w:lang w:val="en-US" w:eastAsia="zh-CN" w:bidi="ar-SA"/>
              </w:rPr>
              <w:t>弹性及其应用</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供给、需求与弹性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1.了解：需求价格弹性与需求收入弹性；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2.理解：富有弹性、缺乏弹性、单位弹性、完全无弹性涵义；需求的交叉价格弹性；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3.掌握：决定需求价格弹性的四个因素；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4.熟练掌握：供给、需求和弹性的三种应用。</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（五）供给、需求与政府政策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税收归宿、税收分配</w:t>
            </w:r>
          </w:p>
          <w:p>
            <w:pPr>
              <w:pStyle w:val="11"/>
              <w:widowControl/>
              <w:spacing w:line="480" w:lineRule="auto"/>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1.了解：价格上、下限如何影响市场结果；向卖者征税与向买者征税如何影响市场结果；</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2.掌握：税收归宿；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3.熟练掌握：决定税收在买者和卖者之间的分配的因素。</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（六）消费者、生产者与市场效率</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消费者、生产者与市场效率</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1.了解：消费者剩余与生产者剩余的内涵；</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2.理解：市场均衡状态；</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3.掌握：福利经济学、效率；</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4.熟练掌握：市场失灵与市场结果无效率</w:t>
            </w:r>
          </w:p>
          <w:p>
            <w:pPr>
              <w:pStyle w:val="11"/>
              <w:widowControl/>
              <w:spacing w:line="480" w:lineRule="auto"/>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（七）应用：赋税的代价</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税收对市场参与者的影响、无谓损失、消费者剩余和生产者剩余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1.了解：税收如何影响市场参与者；</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2.理解：当对一种物品征税时，消费者剩余和生产者剩余如何变动，与税收收入相比较；</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3.掌握：无谓损失；</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 xml:space="preserve">    4.熟练掌握：消费者剩余和生产者剩余变动及原因。</w:t>
            </w:r>
          </w:p>
          <w:p>
            <w:pPr>
              <w:pStyle w:val="11"/>
              <w:widowControl/>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（八） 应用：国际贸易</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b/>
                <w:kern w:val="0"/>
                <w:sz w:val="18"/>
                <w:szCs w:val="18"/>
                <w:lang w:val="en-US" w:eastAsia="zh-CN" w:bidi="ar-SA"/>
              </w:rPr>
              <w:t xml:space="preserve">    </w:t>
            </w: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国家贸易主要观点、关税及其对经济的影响</w:t>
            </w:r>
          </w:p>
          <w:p>
            <w:pPr>
              <w:pStyle w:val="11"/>
              <w:widowControl/>
              <w:ind w:firstLine="360" w:firstLineChars="200"/>
              <w:textAlignment w:val="baseline"/>
              <w:rPr>
                <w:rStyle w:val="6"/>
                <w:rFonts w:ascii="宋体" w:hAnsi="宋体" w:eastAsia="宋体"/>
                <w:kern w:val="2"/>
                <w:sz w:val="18"/>
                <w:szCs w:val="18"/>
                <w:lang w:val="en-US" w:eastAsia="zh-CN" w:bidi="ar-SA"/>
              </w:rPr>
            </w:pP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1.掌握：支持贸易限制的五种观点；</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2.熟练掌握：关税及其对经济的影响。</w:t>
            </w:r>
          </w:p>
          <w:p>
            <w:pPr>
              <w:pStyle w:val="11"/>
              <w:widowControl/>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（九)  外部性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外部性、科斯定理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1.了解：针对外部性的公共政策；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2.理解：正外部性、负外部性；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3.熟练掌握：科斯定理。</w:t>
            </w:r>
          </w:p>
          <w:p>
            <w:pPr>
              <w:pStyle w:val="11"/>
              <w:widowControl/>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（十）公共物品和公共资源</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公共物品、公共资源</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1.了解：搭便车问题；公地悲剧；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2.理解：公共资源、成本——利益分析、私人物品；人们在没有政府干预下的公共资源消费；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3.掌握：公共物品。</w:t>
            </w:r>
          </w:p>
          <w:p>
            <w:pPr>
              <w:pStyle w:val="11"/>
              <w:widowControl/>
              <w:numPr>
                <w:ilvl w:val="0"/>
                <w:numId w:val="4"/>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生产成本</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企业生产成本</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1.了解：企业总收益、利润和总成本之间的关系；固定成本；可变成本；</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2.理解：边际产量递减、规模不经济、隐性成本、边际成本、边际产量；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3.掌握：企业的平均总成本曲线在短期与长期中如何不同及成因。</w:t>
            </w:r>
          </w:p>
          <w:p>
            <w:pPr>
              <w:pStyle w:val="11"/>
              <w:widowControl/>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 xml:space="preserve">    （十二） 竞争市场上的企业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市场供给曲线特征、边际成本</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1.了解：利润最大化与竞争企业供给曲线；竞争市场的供给曲线；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2.理解：沉没成本、边际收益；</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3.掌握：市场供给曲线是在短期更有弹性还是在长期更有弹性及原因；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4.熟练掌握：企业的价格是在短期中、长期中，还是在这两个时期中都等于边际成本？解释原因。</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垄断</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自然垄断、价格歧视、对垄断的经济政策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1.了解：垄断者的生产与定价决策；对垄断的公共政策；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2.理解：为什么垄断者的边际收益小于其物品的价格？边际收益能成为负的吗？解释原因；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3.掌握：自然垄断、价格歧视；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4.熟练掌握：当管制者命令一个自然垄断者必须设定等于边际成本的价格时，会产生两个什么问题？</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一国收入的衡量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GDP的组成及理解；净出口、政府购买、GDP平减指数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1.了解：真实GDP与名义GDP和GDP平减指数的计算；</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2.理解：GDP的组成部分；净出口、政府购买、GDP平减指数；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3.掌握：为什么高GDP是合意的，举出一个增加了GDP但是并不合意的例子。</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生活费用的衡量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真实利率、消费物价指数、生产物价指数、特定产品价格上升对消费物价指数、GDP的影响</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1.了解：消费物价指数（CPI）的计算；消费物价指数及编制；</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2.理解：真实利率与名义利率的涵义及相关性、消费物价指数（CPI）、生产物价指数；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3.掌握：特定产品价格上升对消费物价指数、GDP影响的异同及原因。</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生产与增长</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 xml:space="preserve"> </w:t>
            </w: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生产率的四个决定因素；政府政策影响经济增长率的方式；关税与经济增长的关系</w:t>
            </w:r>
          </w:p>
          <w:p>
            <w:pPr>
              <w:pStyle w:val="11"/>
              <w:widowControl/>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 xml:space="preserve">     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1.了解：经济增长与公共政策；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2.理解：追赶效应；人力资本；人口增长率如何影响人均GDP的水平；</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3.掌握：生产率的四个决定因素；政府政策影响经济增长率的方式；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4.熟练掌握：取消关税与经济增长的关系。</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（十七） 储蓄、投资和金融体系</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共同基金、国民储蓄、私人储蓄、公共储蓄、挤出、金融中介机构的内涵及金融体系的作用</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1.了解：金融市场；政府预算赤字与盈余；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2.理解：共同基金、国民储蓄、私人储蓄、公共储蓄、挤出、金融中介机构；</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3.掌握：金融体系的作用。</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（十八）  基本金融工具</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现值、风险厌恶、有效市场假说、基本面分析、市场风险</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1.了解：企业特有风险、市场非理性、随机行走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2.理解：现值、风险厌恶、有效市场假说</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3.掌握：基本面分析、市场风险</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（十九）  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摩擦性失业、结构性失业、周期性失业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1.了解：失业的衡量；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2.理解：效率工资理论、丧失信心的工人、效率工资；失业在正常情况下是短期的还是长期的及原因；最低工资法能更好地解释青少年的失业还是大学生业生的失业及原因；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 摩擦性失业、结构性失业、周期性失业；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4.熟练掌握：为什么摩擦性失业是不可避免的，政府如何降低摩擦性失业的数量。</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（二十） 货币制度</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货币的种类、控制货币供给中存在的问题、公开市场操作、准备金、货币政策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1.了解:货币的种类、控制货币供给中存在的问题；</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2.理解：货币的职能、美联储的货币工具、货币乘数；美联储想公开市场操作增加货币供给，如何操作；</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3.掌握：公开市场操作、准备金、货币政策；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4.熟练掌握：当美联储提高法定准备金时，货币供给会发生什么变动。</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（二十一） 货币增长与通货膨胀</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通货膨胀税、货币中性、古典二分法；通货膨胀比预期低，债务人和债权人谁更受益及原因；费雪效应</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1.了解：货币供给、货币需求与货币均衡</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2.理解：通货膨胀税、货币中性、古典二分法；通货膨胀比预期低，债务人和债权人谁更受益及原因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3.掌握：费雪效应</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4.熟练掌握：根据费雪效应，通货膨胀率的上升是如何影响真实利率与名义利率的</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（二十二） 总需求与总供给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总供给与总需求曲线及规律</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1.了解：总供给与总需求曲线；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2.理解：短期总供给曲线向右上方倾斜的三种理论；经济波动的两个原因；总需求曲线向右下方倾斜的三个原因；滞胀；</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3.掌握：为什么长期总供给曲线是垂直的。</w:t>
            </w:r>
          </w:p>
          <w:p>
            <w:pPr>
              <w:pStyle w:val="11"/>
              <w:widowControl/>
              <w:ind w:firstLine="360" w:firstLineChars="200"/>
              <w:textAlignment w:val="baseline"/>
              <w:rPr>
                <w:rStyle w:val="6"/>
                <w:rFonts w:ascii="宋体" w:hAnsi="宋体" w:eastAsia="宋体"/>
                <w:kern w:val="2"/>
                <w:sz w:val="18"/>
                <w:szCs w:val="18"/>
                <w:lang w:val="en-US" w:eastAsia="zh-CN" w:bidi="ar-SA"/>
              </w:rPr>
            </w:pPr>
          </w:p>
          <w:p>
            <w:pPr>
              <w:jc w:val="both"/>
              <w:textAlignment w:val="baseline"/>
              <w:rPr>
                <w:rStyle w:val="6"/>
                <w:rFonts w:ascii="宋体"/>
                <w:kern w:val="2"/>
                <w:sz w:val="18"/>
                <w:szCs w:val="18"/>
                <w:lang w:val="en-US" w:eastAsia="zh-CN" w:bidi="ar-SA"/>
              </w:rPr>
            </w:pPr>
          </w:p>
          <w:p>
            <w:pPr>
              <w:jc w:val="both"/>
              <w:textAlignment w:val="baseline"/>
              <w:rPr>
                <w:rStyle w:val="6"/>
                <w:rFonts w:ascii="宋体" w:hAnsi="宋体"/>
                <w:kern w:val="2"/>
                <w:sz w:val="18"/>
                <w:szCs w:val="18"/>
                <w:lang w:val="en-US" w:eastAsia="zh-CN" w:bidi="ar-SA"/>
              </w:rPr>
            </w:pPr>
            <w:r>
              <w:rPr>
                <w:rStyle w:val="6"/>
                <w:rFonts w:ascii="宋体" w:hAnsi="宋体"/>
                <w:b/>
                <w:kern w:val="2"/>
                <w:sz w:val="18"/>
                <w:szCs w:val="18"/>
                <w:lang w:val="en-US" w:eastAsia="zh-CN" w:bidi="ar-SA"/>
              </w:rPr>
              <w:t>参考书目</w:t>
            </w:r>
            <w:r>
              <w:rPr>
                <w:rStyle w:val="6"/>
                <w:rFonts w:ascii="宋体" w:hAnsi="宋体"/>
                <w:kern w:val="2"/>
                <w:sz w:val="18"/>
                <w:szCs w:val="18"/>
                <w:lang w:val="en-US" w:eastAsia="zh-CN" w:bidi="ar-SA"/>
              </w:rPr>
              <w:t xml:space="preserve">：  </w:t>
            </w:r>
          </w:p>
          <w:p>
            <w:pPr>
              <w:jc w:val="both"/>
              <w:textAlignment w:val="baseline"/>
              <w:rPr>
                <w:rStyle w:val="6"/>
                <w:kern w:val="2"/>
                <w:sz w:val="18"/>
                <w:szCs w:val="18"/>
                <w:lang w:val="en-US" w:eastAsia="zh-CN" w:bidi="ar-SA"/>
              </w:rPr>
            </w:pPr>
            <w:r>
              <w:rPr>
                <w:rStyle w:val="6"/>
                <w:kern w:val="2"/>
                <w:sz w:val="18"/>
                <w:szCs w:val="18"/>
                <w:lang w:val="en-US" w:eastAsia="zh-CN" w:bidi="ar-SA"/>
              </w:rPr>
              <w:t>《经济学基础》（第五版）（美）N.格里高利.曼昆著，梁小民译，北京大学出版社，2010年</w:t>
            </w:r>
          </w:p>
        </w:tc>
      </w:tr>
    </w:tbl>
    <w:p>
      <w:pPr>
        <w:jc w:val="both"/>
        <w:textAlignment w:val="baseline"/>
        <w:rPr>
          <w:rStyle w:val="6"/>
          <w:kern w:val="2"/>
          <w:sz w:val="21"/>
          <w:szCs w:val="22"/>
          <w:lang w:val="en-US" w:eastAsia="zh-CN" w:bidi="ar-SA"/>
        </w:rPr>
      </w:pPr>
      <w:r>
        <w:rPr>
          <w:rStyle w:val="6"/>
          <w:kern w:val="2"/>
          <w:sz w:val="21"/>
          <w:szCs w:val="22"/>
          <w:lang w:val="en-US" w:eastAsia="zh-CN" w:bidi="ar-SA"/>
        </w:rPr>
        <w:t xml:space="preserve">                                                                                   </w:t>
      </w:r>
    </w:p>
    <w:sectPr>
      <w:pgSz w:w="16838" w:h="11906"/>
      <w:pgMar w:top="1800" w:right="1440" w:bottom="1800" w:left="1440" w:header="851" w:footer="992" w:gutter="0"/>
      <w:paperSrc/>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3"/>
      <w:numFmt w:val="chineseCounting"/>
      <w:suff w:val="space"/>
      <w:lvlText w:val="（%1）"/>
      <w:lvlJc w:val="left"/>
      <w:pPr>
        <w:widowControl/>
        <w:textAlignment w:val="baseline"/>
      </w:pPr>
      <w:rPr>
        <w:rStyle w:val="6"/>
      </w:rPr>
    </w:lvl>
  </w:abstractNum>
  <w:abstractNum w:abstractNumId="1">
    <w:nsid w:val="00000006"/>
    <w:multiLevelType w:val="singleLevel"/>
    <w:tmpl w:val="00000006"/>
    <w:lvl w:ilvl="0" w:tentative="0">
      <w:start w:val="3"/>
      <w:numFmt w:val="chineseCounting"/>
      <w:suff w:val="nothing"/>
      <w:lvlText w:val="%1、"/>
      <w:lvlJc w:val="left"/>
      <w:pPr>
        <w:widowControl/>
        <w:textAlignment w:val="baseline"/>
      </w:pPr>
      <w:rPr>
        <w:rStyle w:val="6"/>
      </w:rPr>
    </w:lvl>
  </w:abstractNum>
  <w:abstractNum w:abstractNumId="2">
    <w:nsid w:val="00000009"/>
    <w:multiLevelType w:val="multilevel"/>
    <w:tmpl w:val="00000009"/>
    <w:lvl w:ilvl="0" w:tentative="0">
      <w:start w:val="1"/>
      <w:numFmt w:val="japaneseCounting"/>
      <w:lvlText w:val="%1、"/>
      <w:lvlJc w:val="left"/>
      <w:pPr>
        <w:widowControl/>
        <w:ind w:left="420" w:hanging="420"/>
        <w:textAlignment w:val="baseline"/>
      </w:pPr>
      <w:rPr>
        <w:rStyle w:val="6"/>
      </w:rPr>
    </w:lvl>
    <w:lvl w:ilvl="1" w:tentative="0">
      <w:start w:val="1"/>
      <w:numFmt w:val="lowerLetter"/>
      <w:lvlText w:val="%1)"/>
      <w:lvlJc w:val="left"/>
      <w:pPr>
        <w:widowControl/>
        <w:ind w:left="840" w:hanging="420"/>
        <w:textAlignment w:val="baseline"/>
      </w:pPr>
      <w:rPr>
        <w:rStyle w:val="6"/>
      </w:rPr>
    </w:lvl>
    <w:lvl w:ilvl="2" w:tentative="0">
      <w:start w:val="1"/>
      <w:numFmt w:val="lowerRoman"/>
      <w:lvlText w:val="%1."/>
      <w:lvlJc w:val="right"/>
      <w:pPr>
        <w:widowControl/>
        <w:ind w:left="1260" w:hanging="420"/>
        <w:textAlignment w:val="baseline"/>
      </w:pPr>
      <w:rPr>
        <w:rStyle w:val="6"/>
      </w:rPr>
    </w:lvl>
    <w:lvl w:ilvl="3" w:tentative="0">
      <w:start w:val="1"/>
      <w:numFmt w:val="decimal"/>
      <w:lvlText w:val="%1."/>
      <w:lvlJc w:val="left"/>
      <w:pPr>
        <w:widowControl/>
        <w:ind w:left="1680" w:hanging="420"/>
        <w:textAlignment w:val="baseline"/>
      </w:pPr>
      <w:rPr>
        <w:rStyle w:val="6"/>
      </w:rPr>
    </w:lvl>
    <w:lvl w:ilvl="4" w:tentative="0">
      <w:start w:val="1"/>
      <w:numFmt w:val="lowerLetter"/>
      <w:lvlText w:val="%1)"/>
      <w:lvlJc w:val="left"/>
      <w:pPr>
        <w:widowControl/>
        <w:ind w:left="2100" w:hanging="420"/>
        <w:textAlignment w:val="baseline"/>
      </w:pPr>
      <w:rPr>
        <w:rStyle w:val="6"/>
      </w:rPr>
    </w:lvl>
    <w:lvl w:ilvl="5" w:tentative="0">
      <w:start w:val="1"/>
      <w:numFmt w:val="lowerRoman"/>
      <w:lvlText w:val="%1."/>
      <w:lvlJc w:val="right"/>
      <w:pPr>
        <w:widowControl/>
        <w:ind w:left="2520" w:hanging="420"/>
        <w:textAlignment w:val="baseline"/>
      </w:pPr>
      <w:rPr>
        <w:rStyle w:val="6"/>
      </w:rPr>
    </w:lvl>
    <w:lvl w:ilvl="6" w:tentative="0">
      <w:start w:val="1"/>
      <w:numFmt w:val="decimal"/>
      <w:lvlText w:val="%1."/>
      <w:lvlJc w:val="left"/>
      <w:pPr>
        <w:widowControl/>
        <w:ind w:left="2940" w:hanging="420"/>
        <w:textAlignment w:val="baseline"/>
      </w:pPr>
      <w:rPr>
        <w:rStyle w:val="6"/>
      </w:rPr>
    </w:lvl>
    <w:lvl w:ilvl="7" w:tentative="0">
      <w:start w:val="1"/>
      <w:numFmt w:val="lowerLetter"/>
      <w:lvlText w:val="%1)"/>
      <w:lvlJc w:val="left"/>
      <w:pPr>
        <w:widowControl/>
        <w:ind w:left="3360" w:hanging="420"/>
        <w:textAlignment w:val="baseline"/>
      </w:pPr>
      <w:rPr>
        <w:rStyle w:val="6"/>
      </w:rPr>
    </w:lvl>
    <w:lvl w:ilvl="8" w:tentative="0">
      <w:start w:val="1"/>
      <w:numFmt w:val="lowerRoman"/>
      <w:lvlText w:val="%1."/>
      <w:lvlJc w:val="right"/>
      <w:pPr>
        <w:widowControl/>
        <w:ind w:left="3780" w:hanging="420"/>
        <w:textAlignment w:val="baseline"/>
      </w:pPr>
      <w:rPr>
        <w:rStyle w:val="6"/>
      </w:rPr>
    </w:lvl>
  </w:abstractNum>
  <w:abstractNum w:abstractNumId="3">
    <w:nsid w:val="0000000A"/>
    <w:multiLevelType w:val="singleLevel"/>
    <w:tmpl w:val="0000000A"/>
    <w:lvl w:ilvl="0" w:tentative="0">
      <w:start w:val="11"/>
      <w:numFmt w:val="chineseCounting"/>
      <w:suff w:val="nothing"/>
      <w:lvlText w:val="（%1）"/>
      <w:lvlJc w:val="left"/>
      <w:pPr>
        <w:widowControl/>
        <w:textAlignment w:val="baseline"/>
      </w:pPr>
      <w:rPr>
        <w:rStyle w:val="6"/>
      </w:rPr>
    </w:lvl>
  </w:abstractNum>
  <w:abstractNum w:abstractNumId="4">
    <w:nsid w:val="0000000B"/>
    <w:multiLevelType w:val="singleLevel"/>
    <w:tmpl w:val="0000000B"/>
    <w:lvl w:ilvl="0" w:tentative="0">
      <w:start w:val="3"/>
      <w:numFmt w:val="chineseCounting"/>
      <w:suff w:val="space"/>
      <w:lvlText w:val="（%1）"/>
      <w:lvlJc w:val="left"/>
      <w:pPr>
        <w:widowControl/>
        <w:textAlignment w:val="baseline"/>
      </w:pPr>
      <w:rPr>
        <w:rStyle w:val="6"/>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0F6FF1"/>
    <w:rsid w:val="003D260B"/>
    <w:rsid w:val="003D6453"/>
    <w:rsid w:val="0072625C"/>
    <w:rsid w:val="009813CB"/>
    <w:rsid w:val="00A03335"/>
    <w:rsid w:val="00AB6852"/>
    <w:rsid w:val="00CB7FF8"/>
    <w:rsid w:val="7AFA6A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uiPriority w:val="0"/>
    <w:pPr>
      <w:jc w:val="both"/>
      <w:textAlignment w:val="baseline"/>
    </w:pPr>
    <w:rPr>
      <w:rFonts w:ascii="Calibri" w:hAnsi="Calibri" w:eastAsia="宋体"/>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8"/>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uiPriority w:val="0"/>
  </w:style>
  <w:style w:type="table" w:customStyle="1" w:styleId="7">
    <w:name w:val="TableNormal"/>
    <w:semiHidden/>
    <w:uiPriority w:val="0"/>
  </w:style>
  <w:style w:type="character" w:customStyle="1" w:styleId="8">
    <w:name w:val="UserStyle_0"/>
    <w:link w:val="3"/>
    <w:uiPriority w:val="0"/>
    <w:rPr>
      <w:sz w:val="18"/>
      <w:szCs w:val="18"/>
    </w:rPr>
  </w:style>
  <w:style w:type="character" w:customStyle="1" w:styleId="9">
    <w:name w:val="UserStyle_1"/>
    <w:link w:val="2"/>
    <w:uiPriority w:val="0"/>
    <w:rPr>
      <w:sz w:val="18"/>
      <w:szCs w:val="18"/>
    </w:rPr>
  </w:style>
  <w:style w:type="character" w:customStyle="1" w:styleId="10">
    <w:name w:val="UserStyle_2"/>
    <w:link w:val="11"/>
    <w:uiPriority w:val="0"/>
    <w:rPr>
      <w:rFonts w:ascii="宋体" w:hAnsi="Courier New" w:eastAsia="宋体"/>
      <w:sz w:val="20"/>
      <w:szCs w:val="20"/>
    </w:rPr>
  </w:style>
  <w:style w:type="paragraph" w:customStyle="1" w:styleId="11">
    <w:name w:val="PlainText"/>
    <w:basedOn w:val="1"/>
    <w:link w:val="10"/>
    <w:uiPriority w:val="0"/>
    <w:pPr>
      <w:jc w:val="both"/>
      <w:textAlignment w:val="baseline"/>
    </w:pPr>
    <w:rPr>
      <w:rFonts w:ascii="宋体" w:hAnsi="Courier New" w:eastAsia="宋体"/>
      <w:kern w:val="2"/>
      <w:sz w:val="20"/>
      <w:szCs w:val="20"/>
      <w:lang w:val="en-US" w:eastAsia="zh-CN" w:bidi="ar-SA"/>
    </w:rPr>
  </w:style>
  <w:style w:type="paragraph" w:customStyle="1" w:styleId="12">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paragraph" w:customStyle="1" w:styleId="13">
    <w:name w:val="179"/>
    <w:basedOn w:val="1"/>
    <w:qFormat/>
    <w:uiPriority w:val="0"/>
    <w:pPr>
      <w:ind w:firstLine="420" w:firstLineChars="20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Office_11.1.0.9926_F1E327BC-269C-435d-A152-05C5408002CA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2020-09-21T05:14:00Z</dcterms:created>
  <dc:creator>Administrator</dc:creator>
  <cp:lastModifiedBy>聆听</cp:lastModifiedBy>
  <dcterms:modified xsi:type="dcterms:W3CDTF">2020-09-21T05:14:12Z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