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b/>
          <w:sz w:val="30"/>
          <w:szCs w:val="30"/>
        </w:rPr>
      </w:pPr>
      <w:r>
        <w:rPr>
          <w:rFonts w:hint="eastAsia"/>
          <w:b/>
          <w:sz w:val="30"/>
          <w:szCs w:val="30"/>
        </w:rPr>
        <w:t>机械工程（</w:t>
      </w:r>
      <w:r>
        <w:rPr>
          <w:b/>
          <w:sz w:val="30"/>
          <w:szCs w:val="30"/>
        </w:rPr>
        <w:t>080200</w:t>
      </w:r>
      <w:r>
        <w:rPr>
          <w:rFonts w:hint="eastAsia"/>
          <w:b/>
          <w:sz w:val="30"/>
          <w:szCs w:val="30"/>
        </w:rPr>
        <w:t>）</w:t>
      </w:r>
      <w:r>
        <w:rPr>
          <w:rFonts w:hint="eastAsia" w:ascii="华文楷体" w:hAnsi="华文楷体" w:eastAsia="华文楷体"/>
          <w:b/>
          <w:sz w:val="30"/>
          <w:szCs w:val="30"/>
        </w:rPr>
        <w:t>学术型</w:t>
      </w:r>
    </w:p>
    <w:p>
      <w:pPr>
        <w:ind w:firstLine="600" w:firstLineChars="200"/>
        <w:rPr>
          <w:sz w:val="30"/>
          <w:szCs w:val="30"/>
        </w:rPr>
      </w:pPr>
      <w:r>
        <w:rPr>
          <w:rFonts w:hint="eastAsia"/>
          <w:sz w:val="30"/>
          <w:szCs w:val="30"/>
        </w:rPr>
        <w:t>本学科瞄准学科研究前沿与热点领域，从事机械制造的基本理论、自动化制造系统、先进制造模式及其相关技术的研究与开发，同时紧密融合电力学科，具有鲜明的行业特色，经过长期的建设与发展，形成了智能机器人技术、微纳米技术与系统、机械系统状态监测与智能控制和材料先进制造技术四个稳定的研究方向。本学科设有机器人研究所、微机电与微制造创新实验研究所、激光加工实验室等，具有各种先进制造设备若干台，这些硬件设施为培养研究生的创新和实践能力提供了有力保障。</w:t>
      </w:r>
      <w:r>
        <w:rPr>
          <w:rFonts w:hint="eastAsia" w:ascii="宋体" w:hAnsi="宋体" w:cs="Times New Roman"/>
          <w:snapToGrid w:val="0"/>
          <w:kern w:val="0"/>
          <w:sz w:val="30"/>
          <w:szCs w:val="30"/>
        </w:rPr>
        <w:t>凭借多年的教学与科研，本专业形成了良好的科研环境和浓厚的学术氛围，教师的整体科研水平较高，理论研究成果显著。先后承担完成包括国家级和省级在内的科研及教改项目</w:t>
      </w:r>
      <w:r>
        <w:rPr>
          <w:rFonts w:ascii="宋体" w:hAnsi="宋体" w:cs="Times New Roman"/>
          <w:snapToGrid w:val="0"/>
          <w:kern w:val="0"/>
          <w:sz w:val="30"/>
          <w:szCs w:val="30"/>
        </w:rPr>
        <w:t>40</w:t>
      </w:r>
      <w:r>
        <w:rPr>
          <w:rFonts w:hint="eastAsia" w:ascii="宋体" w:hAnsi="宋体" w:cs="Times New Roman"/>
          <w:snapToGrid w:val="0"/>
          <w:kern w:val="0"/>
          <w:sz w:val="30"/>
          <w:szCs w:val="30"/>
        </w:rPr>
        <w:t>余项，近五年来共发表论文</w:t>
      </w:r>
      <w:r>
        <w:rPr>
          <w:rFonts w:ascii="宋体" w:hAnsi="宋体" w:cs="Times New Roman"/>
          <w:snapToGrid w:val="0"/>
          <w:kern w:val="0"/>
          <w:sz w:val="30"/>
          <w:szCs w:val="30"/>
        </w:rPr>
        <w:t>200</w:t>
      </w:r>
      <w:r>
        <w:rPr>
          <w:rFonts w:hint="eastAsia" w:ascii="宋体" w:hAnsi="宋体" w:cs="Times New Roman"/>
          <w:snapToGrid w:val="0"/>
          <w:kern w:val="0"/>
          <w:sz w:val="30"/>
          <w:szCs w:val="30"/>
        </w:rPr>
        <w:t>余篇，其中</w:t>
      </w:r>
      <w:r>
        <w:rPr>
          <w:rFonts w:ascii="宋体" w:hAnsi="宋体" w:cs="Times New Roman"/>
          <w:snapToGrid w:val="0"/>
          <w:kern w:val="0"/>
          <w:sz w:val="30"/>
          <w:szCs w:val="30"/>
        </w:rPr>
        <w:t>SCI</w:t>
      </w:r>
      <w:r>
        <w:rPr>
          <w:rFonts w:hint="eastAsia" w:ascii="宋体" w:hAnsi="宋体" w:cs="Times New Roman"/>
          <w:snapToGrid w:val="0"/>
          <w:kern w:val="0"/>
          <w:sz w:val="30"/>
          <w:szCs w:val="30"/>
        </w:rPr>
        <w:t>检索</w:t>
      </w:r>
      <w:r>
        <w:rPr>
          <w:rFonts w:ascii="宋体" w:hAnsi="宋体" w:cs="Times New Roman"/>
          <w:snapToGrid w:val="0"/>
          <w:kern w:val="0"/>
          <w:sz w:val="30"/>
          <w:szCs w:val="30"/>
        </w:rPr>
        <w:t>3</w:t>
      </w:r>
      <w:r>
        <w:rPr>
          <w:rFonts w:ascii="宋体" w:cs="Times New Roman"/>
          <w:snapToGrid w:val="0"/>
          <w:kern w:val="0"/>
          <w:sz w:val="30"/>
          <w:szCs w:val="30"/>
        </w:rPr>
        <w:t>0</w:t>
      </w:r>
      <w:r>
        <w:rPr>
          <w:rFonts w:hint="eastAsia" w:ascii="宋体" w:hAnsi="宋体" w:cs="Times New Roman"/>
          <w:snapToGrid w:val="0"/>
          <w:kern w:val="0"/>
          <w:sz w:val="30"/>
          <w:szCs w:val="30"/>
        </w:rPr>
        <w:t>余篇、</w:t>
      </w:r>
      <w:r>
        <w:rPr>
          <w:rFonts w:ascii="宋体" w:hAnsi="宋体" w:cs="Times New Roman"/>
          <w:snapToGrid w:val="0"/>
          <w:kern w:val="0"/>
          <w:sz w:val="30"/>
          <w:szCs w:val="30"/>
        </w:rPr>
        <w:t>EI</w:t>
      </w:r>
      <w:r>
        <w:rPr>
          <w:rFonts w:hint="eastAsia" w:ascii="宋体" w:hAnsi="宋体" w:cs="Times New Roman"/>
          <w:snapToGrid w:val="0"/>
          <w:kern w:val="0"/>
          <w:sz w:val="30"/>
          <w:szCs w:val="30"/>
        </w:rPr>
        <w:t>检索</w:t>
      </w:r>
      <w:r>
        <w:rPr>
          <w:rFonts w:ascii="宋体" w:hAnsi="宋体" w:cs="Times New Roman"/>
          <w:snapToGrid w:val="0"/>
          <w:kern w:val="0"/>
          <w:sz w:val="30"/>
          <w:szCs w:val="30"/>
        </w:rPr>
        <w:t>50</w:t>
      </w:r>
      <w:r>
        <w:rPr>
          <w:rFonts w:hint="eastAsia" w:ascii="宋体" w:hAnsi="宋体" w:cs="Times New Roman"/>
          <w:snapToGrid w:val="0"/>
          <w:kern w:val="0"/>
          <w:sz w:val="30"/>
          <w:szCs w:val="30"/>
        </w:rPr>
        <w:t>余篇，科研和教学成果获奖项目</w:t>
      </w:r>
      <w:r>
        <w:rPr>
          <w:rFonts w:ascii="宋体" w:hAnsi="宋体" w:cs="Times New Roman"/>
          <w:snapToGrid w:val="0"/>
          <w:kern w:val="0"/>
          <w:sz w:val="30"/>
          <w:szCs w:val="30"/>
        </w:rPr>
        <w:t>20</w:t>
      </w:r>
      <w:r>
        <w:rPr>
          <w:rFonts w:hint="eastAsia" w:ascii="宋体" w:hAnsi="宋体" w:cs="Times New Roman"/>
          <w:snapToGrid w:val="0"/>
          <w:kern w:val="0"/>
          <w:sz w:val="30"/>
          <w:szCs w:val="30"/>
        </w:rPr>
        <w:t>余项，出版专著和教材</w:t>
      </w:r>
      <w:r>
        <w:rPr>
          <w:rFonts w:ascii="宋体" w:hAnsi="宋体" w:cs="Times New Roman"/>
          <w:snapToGrid w:val="0"/>
          <w:kern w:val="0"/>
          <w:sz w:val="30"/>
          <w:szCs w:val="30"/>
        </w:rPr>
        <w:t>10</w:t>
      </w:r>
      <w:r>
        <w:rPr>
          <w:rFonts w:hint="eastAsia" w:ascii="宋体" w:hAnsi="宋体" w:cs="Times New Roman"/>
          <w:snapToGrid w:val="0"/>
          <w:kern w:val="0"/>
          <w:sz w:val="30"/>
          <w:szCs w:val="30"/>
        </w:rPr>
        <w:t>余部。</w:t>
      </w:r>
    </w:p>
    <w:p>
      <w:pPr>
        <w:ind w:firstLine="600" w:firstLineChars="200"/>
        <w:rPr>
          <w:sz w:val="30"/>
          <w:szCs w:val="30"/>
        </w:rPr>
      </w:pPr>
      <w:bookmarkStart w:id="0" w:name="_GoBack"/>
      <w:bookmarkEnd w:id="0"/>
      <w:r>
        <w:rPr>
          <w:rFonts w:hint="eastAsia"/>
          <w:sz w:val="30"/>
          <w:szCs w:val="30"/>
        </w:rPr>
        <w:t>毕业生就业面宽、适应性强，主要在机械、电力系统、冶金、化工及交通行业等相关领域内的大型企业、科研院所、国家机关和高等院校等从事产品设计制造、技术研发、应用研究、设备管理与维修、科研和教学等工作。</w:t>
      </w:r>
    </w:p>
    <w:p>
      <w:pPr>
        <w:rPr>
          <w:sz w:val="30"/>
          <w:szCs w:val="30"/>
        </w:rPr>
      </w:pPr>
    </w:p>
    <w:p>
      <w:pPr>
        <w:jc w:val="left"/>
        <w:rPr>
          <w:b/>
          <w:sz w:val="30"/>
          <w:szCs w:val="30"/>
        </w:rPr>
      </w:pPr>
      <w:r>
        <w:rPr>
          <w:rFonts w:hint="eastAsia"/>
          <w:b/>
          <w:sz w:val="30"/>
          <w:szCs w:val="30"/>
        </w:rPr>
        <w:t>机械（</w:t>
      </w:r>
      <w:r>
        <w:rPr>
          <w:b/>
          <w:sz w:val="30"/>
          <w:szCs w:val="30"/>
        </w:rPr>
        <w:t>085500</w:t>
      </w:r>
      <w:r>
        <w:rPr>
          <w:rFonts w:hint="eastAsia"/>
          <w:b/>
          <w:sz w:val="30"/>
          <w:szCs w:val="30"/>
        </w:rPr>
        <w:t>）</w:t>
      </w:r>
      <w:r>
        <w:rPr>
          <w:rFonts w:hint="eastAsia" w:ascii="华文楷体" w:hAnsi="华文楷体" w:eastAsia="华文楷体"/>
          <w:b/>
          <w:sz w:val="30"/>
          <w:szCs w:val="30"/>
        </w:rPr>
        <w:t>专业学位</w:t>
      </w:r>
    </w:p>
    <w:p>
      <w:pPr>
        <w:ind w:firstLine="600" w:firstLineChars="200"/>
        <w:rPr>
          <w:rFonts w:hint="eastAsia"/>
          <w:sz w:val="30"/>
          <w:szCs w:val="30"/>
          <w:lang w:val="en-US" w:eastAsia="zh-CN"/>
        </w:rPr>
      </w:pPr>
      <w:r>
        <w:rPr>
          <w:rFonts w:hint="eastAsia"/>
          <w:sz w:val="30"/>
          <w:szCs w:val="30"/>
        </w:rPr>
        <w:t>本学科瞄准学科研究热点领域，紧密融合电力学科，经过长期的建设与发展，形成了智能机器人技术、微纳米技术与系统、机械系统状态监测与智能控制和材料先进制造技术四个稳定的研究方向。</w:t>
      </w:r>
      <w:r>
        <w:rPr>
          <w:rFonts w:hint="eastAsia"/>
          <w:sz w:val="30"/>
          <w:szCs w:val="30"/>
          <w:lang w:val="en-US" w:eastAsia="zh-CN"/>
        </w:rPr>
        <w:t>专业学位培养目标为：引导学生了解机械工程领域的发展动向，掌握本学科的基础理论、先进技术方法和现代技术手段，具备独立从事技术研究、设计开发和工程管理等能力。</w:t>
      </w:r>
    </w:p>
    <w:p>
      <w:pPr>
        <w:ind w:firstLine="600" w:firstLineChars="200"/>
        <w:rPr>
          <w:sz w:val="30"/>
          <w:szCs w:val="30"/>
        </w:rPr>
      </w:pPr>
      <w:r>
        <w:rPr>
          <w:rFonts w:hint="eastAsia"/>
          <w:sz w:val="30"/>
          <w:szCs w:val="30"/>
        </w:rPr>
        <w:t>本学科设有机器人研究所、微机电与微制造创新实验研究所、激光加工实验室等，这些硬件条件为培养研究生的创新和实践能力提供了有力保障。</w:t>
      </w:r>
      <w:r>
        <w:rPr>
          <w:rFonts w:hint="eastAsia" w:ascii="宋体" w:hAnsi="宋体" w:cs="Times New Roman"/>
          <w:snapToGrid w:val="0"/>
          <w:kern w:val="0"/>
          <w:sz w:val="30"/>
          <w:szCs w:val="30"/>
        </w:rPr>
        <w:t>凭借多年的教学与科研，本专业教师的整体科研水平较高，理论研究成果显著。先后承担完成包括国家级和省级在内的科研及教改项目</w:t>
      </w:r>
      <w:r>
        <w:rPr>
          <w:rFonts w:ascii="宋体" w:hAnsi="宋体" w:cs="Times New Roman"/>
          <w:snapToGrid w:val="0"/>
          <w:kern w:val="0"/>
          <w:sz w:val="30"/>
          <w:szCs w:val="30"/>
        </w:rPr>
        <w:t>40</w:t>
      </w:r>
      <w:r>
        <w:rPr>
          <w:rFonts w:hint="eastAsia" w:ascii="宋体" w:hAnsi="宋体" w:cs="Times New Roman"/>
          <w:snapToGrid w:val="0"/>
          <w:kern w:val="0"/>
          <w:sz w:val="30"/>
          <w:szCs w:val="30"/>
        </w:rPr>
        <w:t>余项，近五年来共发表论文</w:t>
      </w:r>
      <w:r>
        <w:rPr>
          <w:rFonts w:ascii="宋体" w:hAnsi="宋体" w:cs="Times New Roman"/>
          <w:snapToGrid w:val="0"/>
          <w:kern w:val="0"/>
          <w:sz w:val="30"/>
          <w:szCs w:val="30"/>
        </w:rPr>
        <w:t>200</w:t>
      </w:r>
      <w:r>
        <w:rPr>
          <w:rFonts w:hint="eastAsia" w:ascii="宋体" w:hAnsi="宋体" w:cs="Times New Roman"/>
          <w:snapToGrid w:val="0"/>
          <w:kern w:val="0"/>
          <w:sz w:val="30"/>
          <w:szCs w:val="30"/>
        </w:rPr>
        <w:t>余篇，其中</w:t>
      </w:r>
      <w:r>
        <w:rPr>
          <w:rFonts w:ascii="宋体" w:hAnsi="宋体" w:cs="Times New Roman"/>
          <w:snapToGrid w:val="0"/>
          <w:kern w:val="0"/>
          <w:sz w:val="30"/>
          <w:szCs w:val="30"/>
        </w:rPr>
        <w:t>SCI</w:t>
      </w:r>
      <w:r>
        <w:rPr>
          <w:rFonts w:hint="eastAsia" w:ascii="宋体" w:hAnsi="宋体" w:cs="Times New Roman"/>
          <w:snapToGrid w:val="0"/>
          <w:kern w:val="0"/>
          <w:sz w:val="30"/>
          <w:szCs w:val="30"/>
        </w:rPr>
        <w:t>检索</w:t>
      </w:r>
      <w:r>
        <w:rPr>
          <w:rFonts w:ascii="宋体" w:hAnsi="宋体" w:cs="Times New Roman"/>
          <w:snapToGrid w:val="0"/>
          <w:kern w:val="0"/>
          <w:sz w:val="30"/>
          <w:szCs w:val="30"/>
        </w:rPr>
        <w:t>3</w:t>
      </w:r>
      <w:r>
        <w:rPr>
          <w:rFonts w:ascii="宋体" w:cs="Times New Roman"/>
          <w:snapToGrid w:val="0"/>
          <w:kern w:val="0"/>
          <w:sz w:val="30"/>
          <w:szCs w:val="30"/>
        </w:rPr>
        <w:t>0</w:t>
      </w:r>
      <w:r>
        <w:rPr>
          <w:rFonts w:hint="eastAsia" w:ascii="宋体" w:hAnsi="宋体" w:cs="Times New Roman"/>
          <w:snapToGrid w:val="0"/>
          <w:kern w:val="0"/>
          <w:sz w:val="30"/>
          <w:szCs w:val="30"/>
        </w:rPr>
        <w:t>余篇、</w:t>
      </w:r>
      <w:r>
        <w:rPr>
          <w:rFonts w:ascii="宋体" w:hAnsi="宋体" w:cs="Times New Roman"/>
          <w:snapToGrid w:val="0"/>
          <w:kern w:val="0"/>
          <w:sz w:val="30"/>
          <w:szCs w:val="30"/>
        </w:rPr>
        <w:t>EI</w:t>
      </w:r>
      <w:r>
        <w:rPr>
          <w:rFonts w:hint="eastAsia" w:ascii="宋体" w:hAnsi="宋体" w:cs="Times New Roman"/>
          <w:snapToGrid w:val="0"/>
          <w:kern w:val="0"/>
          <w:sz w:val="30"/>
          <w:szCs w:val="30"/>
        </w:rPr>
        <w:t>检索</w:t>
      </w:r>
      <w:r>
        <w:rPr>
          <w:rFonts w:ascii="宋体" w:hAnsi="宋体" w:cs="Times New Roman"/>
          <w:snapToGrid w:val="0"/>
          <w:kern w:val="0"/>
          <w:sz w:val="30"/>
          <w:szCs w:val="30"/>
        </w:rPr>
        <w:t>50</w:t>
      </w:r>
      <w:r>
        <w:rPr>
          <w:rFonts w:hint="eastAsia" w:ascii="宋体" w:hAnsi="宋体" w:cs="Times New Roman"/>
          <w:snapToGrid w:val="0"/>
          <w:kern w:val="0"/>
          <w:sz w:val="30"/>
          <w:szCs w:val="30"/>
        </w:rPr>
        <w:t>余篇，科研和教学成果获奖项目</w:t>
      </w:r>
      <w:r>
        <w:rPr>
          <w:rFonts w:ascii="宋体" w:hAnsi="宋体" w:cs="Times New Roman"/>
          <w:snapToGrid w:val="0"/>
          <w:kern w:val="0"/>
          <w:sz w:val="30"/>
          <w:szCs w:val="30"/>
        </w:rPr>
        <w:t>20</w:t>
      </w:r>
      <w:r>
        <w:rPr>
          <w:rFonts w:hint="eastAsia" w:ascii="宋体" w:hAnsi="宋体" w:cs="Times New Roman"/>
          <w:snapToGrid w:val="0"/>
          <w:kern w:val="0"/>
          <w:sz w:val="30"/>
          <w:szCs w:val="30"/>
        </w:rPr>
        <w:t>余项，出版专著和教材</w:t>
      </w:r>
      <w:r>
        <w:rPr>
          <w:rFonts w:ascii="宋体" w:hAnsi="宋体" w:cs="Times New Roman"/>
          <w:snapToGrid w:val="0"/>
          <w:kern w:val="0"/>
          <w:sz w:val="30"/>
          <w:szCs w:val="30"/>
        </w:rPr>
        <w:t>10</w:t>
      </w:r>
      <w:r>
        <w:rPr>
          <w:rFonts w:hint="eastAsia" w:ascii="宋体" w:hAnsi="宋体" w:cs="Times New Roman"/>
          <w:snapToGrid w:val="0"/>
          <w:kern w:val="0"/>
          <w:sz w:val="30"/>
          <w:szCs w:val="30"/>
        </w:rPr>
        <w:t>余部。</w:t>
      </w:r>
    </w:p>
    <w:p>
      <w:pPr>
        <w:ind w:firstLine="600" w:firstLineChars="200"/>
        <w:rPr>
          <w:sz w:val="30"/>
          <w:szCs w:val="30"/>
        </w:rPr>
      </w:pPr>
      <w:r>
        <w:rPr>
          <w:rFonts w:hint="eastAsia"/>
          <w:sz w:val="30"/>
          <w:szCs w:val="30"/>
        </w:rPr>
        <w:t>毕业生就业面宽、适应性强，主要在机械、电力系统、冶金、化工及交通行业等相关领域内的大型企业、国家机关和高等院校等从事产品设计制造、技术研发、应用研究、设备管理与维修和教学等工作。</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libri Light">
    <w:panose1 w:val="020F0302020204030204"/>
    <w:charset w:val="00"/>
    <w:family w:val="swiss"/>
    <w:pitch w:val="default"/>
    <w:sig w:usb0="E0002A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DDB"/>
    <w:rsid w:val="00003B98"/>
    <w:rsid w:val="00021BAA"/>
    <w:rsid w:val="00050F3A"/>
    <w:rsid w:val="00080D68"/>
    <w:rsid w:val="00087ECC"/>
    <w:rsid w:val="000C3639"/>
    <w:rsid w:val="000D0729"/>
    <w:rsid w:val="00127EEC"/>
    <w:rsid w:val="00137B47"/>
    <w:rsid w:val="00184DDB"/>
    <w:rsid w:val="00194239"/>
    <w:rsid w:val="001951BE"/>
    <w:rsid w:val="001A219B"/>
    <w:rsid w:val="001E4462"/>
    <w:rsid w:val="001F5737"/>
    <w:rsid w:val="001F6766"/>
    <w:rsid w:val="00203A30"/>
    <w:rsid w:val="00220ADB"/>
    <w:rsid w:val="002221D2"/>
    <w:rsid w:val="00240B6F"/>
    <w:rsid w:val="002623E4"/>
    <w:rsid w:val="0029354F"/>
    <w:rsid w:val="002A4599"/>
    <w:rsid w:val="002B7619"/>
    <w:rsid w:val="002B7E31"/>
    <w:rsid w:val="002D45E4"/>
    <w:rsid w:val="002E5EF5"/>
    <w:rsid w:val="002F546D"/>
    <w:rsid w:val="00323E9F"/>
    <w:rsid w:val="00395EF9"/>
    <w:rsid w:val="003D79A8"/>
    <w:rsid w:val="0041428F"/>
    <w:rsid w:val="00437B0A"/>
    <w:rsid w:val="00437BC5"/>
    <w:rsid w:val="00457856"/>
    <w:rsid w:val="0046428E"/>
    <w:rsid w:val="00495B03"/>
    <w:rsid w:val="004C529D"/>
    <w:rsid w:val="004C52E4"/>
    <w:rsid w:val="0050573E"/>
    <w:rsid w:val="005C2047"/>
    <w:rsid w:val="005C5D37"/>
    <w:rsid w:val="005F42DD"/>
    <w:rsid w:val="00601B02"/>
    <w:rsid w:val="00602AFA"/>
    <w:rsid w:val="00605C32"/>
    <w:rsid w:val="006239FE"/>
    <w:rsid w:val="00661AE2"/>
    <w:rsid w:val="006C145E"/>
    <w:rsid w:val="006C6B69"/>
    <w:rsid w:val="006E2CBB"/>
    <w:rsid w:val="006E5ED2"/>
    <w:rsid w:val="006F3866"/>
    <w:rsid w:val="007359C3"/>
    <w:rsid w:val="00740A2C"/>
    <w:rsid w:val="007644DD"/>
    <w:rsid w:val="00774540"/>
    <w:rsid w:val="00780913"/>
    <w:rsid w:val="007A0BEC"/>
    <w:rsid w:val="007A5EAF"/>
    <w:rsid w:val="007B48A0"/>
    <w:rsid w:val="008032CA"/>
    <w:rsid w:val="008243C5"/>
    <w:rsid w:val="00836479"/>
    <w:rsid w:val="00843B0F"/>
    <w:rsid w:val="0086162F"/>
    <w:rsid w:val="008C65F2"/>
    <w:rsid w:val="008C67F0"/>
    <w:rsid w:val="00904F50"/>
    <w:rsid w:val="009212A1"/>
    <w:rsid w:val="00974A66"/>
    <w:rsid w:val="00993881"/>
    <w:rsid w:val="009A4DCE"/>
    <w:rsid w:val="009A7F61"/>
    <w:rsid w:val="00A025C4"/>
    <w:rsid w:val="00AF4CAF"/>
    <w:rsid w:val="00B31055"/>
    <w:rsid w:val="00BA1B12"/>
    <w:rsid w:val="00BD1E79"/>
    <w:rsid w:val="00BD6801"/>
    <w:rsid w:val="00C617F3"/>
    <w:rsid w:val="00C74932"/>
    <w:rsid w:val="00C771D8"/>
    <w:rsid w:val="00CB560E"/>
    <w:rsid w:val="00CC4723"/>
    <w:rsid w:val="00CE3F32"/>
    <w:rsid w:val="00CF2032"/>
    <w:rsid w:val="00CF3DFC"/>
    <w:rsid w:val="00D37718"/>
    <w:rsid w:val="00D53615"/>
    <w:rsid w:val="00DA4226"/>
    <w:rsid w:val="00DC0114"/>
    <w:rsid w:val="00DC6430"/>
    <w:rsid w:val="00DE2D62"/>
    <w:rsid w:val="00E13884"/>
    <w:rsid w:val="00E36165"/>
    <w:rsid w:val="00E371FA"/>
    <w:rsid w:val="00E67C3C"/>
    <w:rsid w:val="00E81392"/>
    <w:rsid w:val="00EC55A2"/>
    <w:rsid w:val="00EF7AA7"/>
    <w:rsid w:val="00F15B67"/>
    <w:rsid w:val="00F80A75"/>
    <w:rsid w:val="00FA7270"/>
    <w:rsid w:val="00FF7EE5"/>
    <w:rsid w:val="11CB33BC"/>
    <w:rsid w:val="14223E13"/>
    <w:rsid w:val="324553E8"/>
    <w:rsid w:val="62522D5D"/>
    <w:rsid w:val="6E652E2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iPriority w:val="99"/>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iPriority w:val="99"/>
    <w:pPr>
      <w:tabs>
        <w:tab w:val="center" w:pos="4153"/>
        <w:tab w:val="right" w:pos="8306"/>
      </w:tabs>
      <w:snapToGrid w:val="0"/>
      <w:jc w:val="left"/>
    </w:pPr>
    <w:rPr>
      <w:rFonts w:ascii="Times New Roman" w:hAnsi="Times New Roman" w:cs="Times New Roman"/>
      <w:kern w:val="0"/>
      <w:sz w:val="18"/>
      <w:szCs w:val="18"/>
    </w:rPr>
  </w:style>
  <w:style w:type="paragraph" w:styleId="3">
    <w:name w:val="header"/>
    <w:basedOn w:val="1"/>
    <w:link w:val="8"/>
    <w:semiHidden/>
    <w:uiPriority w:val="99"/>
    <w:pPr>
      <w:pBdr>
        <w:bottom w:val="single" w:color="auto" w:sz="6" w:space="1"/>
      </w:pBdr>
      <w:tabs>
        <w:tab w:val="center" w:pos="4153"/>
        <w:tab w:val="right" w:pos="8306"/>
      </w:tabs>
      <w:snapToGrid w:val="0"/>
      <w:jc w:val="center"/>
    </w:pPr>
    <w:rPr>
      <w:rFonts w:ascii="Times New Roman" w:hAnsi="Times New Roman" w:cs="Times New Roman"/>
      <w:kern w:val="0"/>
      <w:sz w:val="18"/>
      <w:szCs w:val="18"/>
    </w:rPr>
  </w:style>
  <w:style w:type="paragraph" w:styleId="4">
    <w:name w:val="Subtitle"/>
    <w:basedOn w:val="1"/>
    <w:next w:val="1"/>
    <w:link w:val="9"/>
    <w:qFormat/>
    <w:uiPriority w:val="99"/>
    <w:pPr>
      <w:spacing w:before="240" w:after="60" w:line="312" w:lineRule="auto"/>
      <w:jc w:val="center"/>
      <w:outlineLvl w:val="1"/>
    </w:pPr>
    <w:rPr>
      <w:rFonts w:ascii="Calibri Light" w:hAnsi="Calibri Light" w:cs="Times New Roman"/>
      <w:b/>
      <w:bCs/>
      <w:kern w:val="28"/>
      <w:sz w:val="32"/>
      <w:szCs w:val="32"/>
    </w:rPr>
  </w:style>
  <w:style w:type="character" w:customStyle="1" w:styleId="7">
    <w:name w:val="Footer Char"/>
    <w:basedOn w:val="6"/>
    <w:link w:val="2"/>
    <w:semiHidden/>
    <w:qFormat/>
    <w:locked/>
    <w:uiPriority w:val="99"/>
    <w:rPr>
      <w:sz w:val="18"/>
    </w:rPr>
  </w:style>
  <w:style w:type="character" w:customStyle="1" w:styleId="8">
    <w:name w:val="Header Char"/>
    <w:basedOn w:val="6"/>
    <w:link w:val="3"/>
    <w:semiHidden/>
    <w:locked/>
    <w:uiPriority w:val="99"/>
    <w:rPr>
      <w:sz w:val="18"/>
    </w:rPr>
  </w:style>
  <w:style w:type="character" w:customStyle="1" w:styleId="9">
    <w:name w:val="Subtitle Char"/>
    <w:basedOn w:val="6"/>
    <w:link w:val="4"/>
    <w:locked/>
    <w:uiPriority w:val="99"/>
    <w:rPr>
      <w:rFonts w:ascii="Calibri Light" w:hAnsi="Calibri Light" w:eastAsia="宋体"/>
      <w:b/>
      <w:kern w:val="28"/>
      <w:sz w:val="32"/>
    </w:rPr>
  </w:style>
  <w:style w:type="character" w:customStyle="1" w:styleId="10">
    <w:name w:val="char"/>
    <w:basedOn w:val="6"/>
    <w:qFormat/>
    <w:uiPriority w:val="99"/>
    <w:rPr>
      <w:rFonts w:cs="Times New Roma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Admin</Company>
  <Pages>2</Pages>
  <Words>130</Words>
  <Characters>742</Characters>
  <Lines>0</Lines>
  <Paragraphs>0</Paragraphs>
  <TotalTime>10</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2015-07-16T01:36:00Z</dcterms:created>
  <dc:creator>windows7</dc:creator>
  <cp:lastModifiedBy>小崽佳一</cp:lastModifiedBy>
  <dcterms:modified xsi:type="dcterms:W3CDTF">2019-08-29T07:12:15Z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